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1FBC" w:rsidRPr="00904086" w:rsidRDefault="003F1FBC" w:rsidP="00904086">
      <w:pPr>
        <w:shd w:val="clear" w:color="auto" w:fill="FFFFFF"/>
        <w:spacing w:before="375" w:after="225" w:line="240" w:lineRule="auto"/>
        <w:jc w:val="center"/>
        <w:textAlignment w:val="baseline"/>
        <w:outlineLvl w:val="1"/>
        <w:rPr>
          <w:rFonts w:ascii="Arial" w:hAnsi="Arial" w:cs="Arial"/>
          <w:color w:val="3C3C3C"/>
          <w:spacing w:val="2"/>
          <w:sz w:val="31"/>
          <w:szCs w:val="31"/>
          <w:lang w:eastAsia="ru-RU"/>
        </w:rPr>
      </w:pPr>
      <w:r w:rsidRPr="00904086">
        <w:rPr>
          <w:rFonts w:ascii="Arial" w:hAnsi="Arial" w:cs="Arial"/>
          <w:color w:val="3C3C3C"/>
          <w:spacing w:val="2"/>
          <w:sz w:val="31"/>
          <w:szCs w:val="31"/>
          <w:lang w:eastAsia="ru-RU"/>
        </w:rPr>
        <w:t>РЕГИОНАЛЬНЫЕ НОРМАТИВЫ ГРАДОСТРОИТЕЛЬНОГО ПРОЕКТИРОВАНИЯ РЕСПУБЛИКИ МОРДОВИЯ</w:t>
      </w:r>
    </w:p>
    <w:p w:rsidR="003F1FBC" w:rsidRPr="00904086" w:rsidRDefault="003F1FBC"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Утверждены</w:t>
      </w:r>
      <w:r w:rsidRPr="00904086">
        <w:rPr>
          <w:rFonts w:ascii="Arial" w:hAnsi="Arial" w:cs="Arial"/>
          <w:color w:val="2D2D2D"/>
          <w:spacing w:val="2"/>
          <w:sz w:val="21"/>
          <w:szCs w:val="21"/>
          <w:lang w:eastAsia="ru-RU"/>
        </w:rPr>
        <w:br/>
        <w:t>постановлением Правительства</w:t>
      </w:r>
      <w:r w:rsidRPr="00904086">
        <w:rPr>
          <w:rFonts w:ascii="Arial" w:hAnsi="Arial" w:cs="Arial"/>
          <w:color w:val="2D2D2D"/>
          <w:spacing w:val="2"/>
          <w:sz w:val="21"/>
          <w:szCs w:val="21"/>
          <w:lang w:eastAsia="ru-RU"/>
        </w:rPr>
        <w:br/>
        <w:t>Республики Мордовия</w:t>
      </w:r>
      <w:r w:rsidRPr="00904086">
        <w:rPr>
          <w:rFonts w:ascii="Arial" w:hAnsi="Arial" w:cs="Arial"/>
          <w:color w:val="2D2D2D"/>
          <w:spacing w:val="2"/>
          <w:sz w:val="21"/>
          <w:szCs w:val="21"/>
          <w:lang w:eastAsia="ru-RU"/>
        </w:rPr>
        <w:br/>
        <w:t>от 8 августа 2016 года N 409</w:t>
      </w:r>
    </w:p>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 Основная часть региональных нормативов градостроительного проектирования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регионального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1.1.1. Расчетные показатели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1.1.1(а). Расчетные показатели объектов, относящихся к области транспорта</w:t>
      </w:r>
    </w:p>
    <w:tbl>
      <w:tblPr>
        <w:tblW w:w="0" w:type="auto"/>
        <w:tblCellMar>
          <w:left w:w="0" w:type="dxa"/>
          <w:right w:w="0" w:type="dxa"/>
        </w:tblCellMar>
        <w:tblLook w:val="00A0"/>
      </w:tblPr>
      <w:tblGrid>
        <w:gridCol w:w="541"/>
        <w:gridCol w:w="2410"/>
        <w:gridCol w:w="2333"/>
        <w:gridCol w:w="1132"/>
        <w:gridCol w:w="1932"/>
        <w:gridCol w:w="1573"/>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587" w:type="dxa"/>
          </w:tcPr>
          <w:p w:rsidR="003F1FBC" w:rsidRPr="00904086" w:rsidRDefault="003F1FBC" w:rsidP="00904086">
            <w:pPr>
              <w:spacing w:after="0" w:line="240" w:lineRule="auto"/>
              <w:rPr>
                <w:rFonts w:ascii="Times New Roman" w:hAnsi="Times New Roman"/>
                <w:sz w:val="20"/>
                <w:szCs w:val="20"/>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c>
          <w:tcPr>
            <w:tcW w:w="1109"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регионального или межмуниципального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км/1 км(2) территории &lt;*&gt;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3,99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Автовокзалы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автовокзала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4000</w:t>
            </w:r>
            <w:r w:rsidRPr="00904086">
              <w:rPr>
                <w:rFonts w:ascii="Times New Roman" w:hAnsi="Times New Roman"/>
                <w:color w:val="2D2D2D"/>
                <w:sz w:val="21"/>
                <w:szCs w:val="21"/>
                <w:lang w:eastAsia="ru-RU"/>
              </w:rPr>
              <w:br/>
              <w:t>до 6000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6000</w:t>
            </w:r>
            <w:r w:rsidRPr="00904086">
              <w:rPr>
                <w:rFonts w:ascii="Times New Roman" w:hAnsi="Times New Roman"/>
                <w:color w:val="2D2D2D"/>
                <w:sz w:val="21"/>
                <w:szCs w:val="21"/>
                <w:lang w:eastAsia="ru-RU"/>
              </w:rPr>
              <w:br/>
              <w:t>до 8000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8000</w:t>
            </w:r>
            <w:r w:rsidRPr="00904086">
              <w:rPr>
                <w:rFonts w:ascii="Times New Roman" w:hAnsi="Times New Roman"/>
                <w:color w:val="2D2D2D"/>
                <w:sz w:val="21"/>
                <w:szCs w:val="21"/>
                <w:lang w:eastAsia="ru-RU"/>
              </w:rPr>
              <w:br/>
              <w:t>до 10000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Автостанции регионального значения</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автостанций при суточном отправлении,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самого удаленного населенного пункта до ближайшей автостанции,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100 до 200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200 до 400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400 до 600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600 до 1000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Пассажирское автотранспортное предприятие (ПАТП)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количество единиц общественного автотранспорта на 1000 человек</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дальней остановки до ПАТП,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единиц общественного автотранспорта, пассажиров</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обеспеченности устанавливаются по зонам согласно зонированию.</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Зонирование Республики Мордовия по плотности расселения установлено по границам муниципальных районов и городского округа Саранск,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1.1.1.(б) Зонирование территории по плотности расселения</w:t>
      </w:r>
    </w:p>
    <w:tbl>
      <w:tblPr>
        <w:tblW w:w="0" w:type="auto"/>
        <w:tblCellMar>
          <w:left w:w="0" w:type="dxa"/>
          <w:right w:w="0" w:type="dxa"/>
        </w:tblCellMar>
        <w:tblLook w:val="00A0"/>
      </w:tblPr>
      <w:tblGrid>
        <w:gridCol w:w="403"/>
        <w:gridCol w:w="2294"/>
        <w:gridCol w:w="2172"/>
        <w:gridCol w:w="2409"/>
        <w:gridCol w:w="2643"/>
      </w:tblGrid>
      <w:tr w:rsidR="003F1FBC" w:rsidRPr="00E0317E" w:rsidTr="00904086">
        <w:trPr>
          <w:trHeight w:val="15"/>
        </w:trPr>
        <w:tc>
          <w:tcPr>
            <w:tcW w:w="370"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высокоинтенсивной плотности расселения - г.о. Саранск (от 300 чел./км(2))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(от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8059FE" w:rsidRDefault="003F1FBC"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Зоны средней плотности расселения (от 20 до 30 чел./км(2))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(до 20 чел./км(2))</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8059FE" w:rsidRDefault="003F1FBC"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4</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8059FE"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8059FE" w:rsidRDefault="003F1FBC" w:rsidP="00904086">
            <w:pPr>
              <w:spacing w:after="0" w:line="315" w:lineRule="atLeast"/>
              <w:jc w:val="center"/>
              <w:textAlignment w:val="baseline"/>
              <w:rPr>
                <w:rFonts w:ascii="Times New Roman" w:hAnsi="Times New Roman"/>
                <w:color w:val="2D2D2D"/>
                <w:sz w:val="21"/>
                <w:szCs w:val="21"/>
                <w:lang w:eastAsia="ru-RU"/>
              </w:rPr>
            </w:pPr>
            <w:r w:rsidRPr="008059FE">
              <w:rPr>
                <w:rFonts w:ascii="Times New Roman" w:hAnsi="Times New Roman"/>
                <w:color w:val="2D2D2D"/>
                <w:sz w:val="21"/>
                <w:szCs w:val="21"/>
                <w:lang w:eastAsia="ru-RU"/>
              </w:rPr>
              <w:t>Ардатовский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Атюрьевский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Атяшевский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Большеигнатовский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Большеберезниковский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Дубенский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Ельниковский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Зубово-Полянский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Инсарский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Ичалковский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Кадошкинский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Ковылкинский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Кочкуровский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Краснослободский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Лямбирский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Ромодановский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Рузаевский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Старошайговский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Темниковский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Теньгушевский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Торбеевский муниципальный район</w:t>
            </w:r>
          </w:p>
        </w:tc>
      </w:tr>
      <w:tr w:rsidR="003F1FBC" w:rsidRPr="00E0317E" w:rsidTr="00904086">
        <w:tc>
          <w:tcPr>
            <w:tcW w:w="37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Чамзинский муниципальный район</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1.1.2. Расчетные показатели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образования установлены в соответствии с полномочиями Республики Мордовия (в т.ч.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образования и показатели максимально допустимого уровня территориальной доступности таких объектов представлены в таблице 1.1.2(а).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1.1.2(а). Расчетные показатели объектов, относящихся к области образования</w:t>
      </w:r>
    </w:p>
    <w:tbl>
      <w:tblPr>
        <w:tblW w:w="0" w:type="auto"/>
        <w:tblCellMar>
          <w:left w:w="0" w:type="dxa"/>
          <w:right w:w="0" w:type="dxa"/>
        </w:tblCellMar>
        <w:tblLook w:val="00A0"/>
      </w:tblPr>
      <w:tblGrid>
        <w:gridCol w:w="543"/>
        <w:gridCol w:w="3123"/>
        <w:gridCol w:w="1666"/>
        <w:gridCol w:w="1241"/>
        <w:gridCol w:w="1860"/>
        <w:gridCol w:w="1488"/>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511"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166,4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Общеобразовательные учреждения (лицеи, гимназии, школы)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зоны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132,5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Расчетные показатели территориальной доступности объектов регионального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1.1.3. Расчетные показатели в области здравоохранения и социального обеспечения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1.1.3(а).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1.1.3(а). Расчетные показатели объектов, относящихся к области здравоохранения</w:t>
      </w:r>
    </w:p>
    <w:tbl>
      <w:tblPr>
        <w:tblW w:w="0" w:type="auto"/>
        <w:tblCellMar>
          <w:left w:w="0" w:type="dxa"/>
          <w:right w:w="0" w:type="dxa"/>
        </w:tblCellMar>
        <w:tblLook w:val="00A0"/>
      </w:tblPr>
      <w:tblGrid>
        <w:gridCol w:w="726"/>
        <w:gridCol w:w="2760"/>
        <w:gridCol w:w="1993"/>
        <w:gridCol w:w="1193"/>
        <w:gridCol w:w="2056"/>
        <w:gridCol w:w="1193"/>
      </w:tblGrid>
      <w:tr w:rsidR="003F1FBC" w:rsidRPr="00E0317E" w:rsidTr="00904086">
        <w:trPr>
          <w:trHeight w:val="15"/>
        </w:trPr>
        <w:tc>
          <w:tcPr>
            <w:tcW w:w="739"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326"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 &lt;***&gt;</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(Республиканские) больницы общего типа, в т.ч. детские, скорой помощи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2,97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1889,55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объекты высокотехнологичной медицинской помощи, в т.ч.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уронефрологические диспансеры,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2132,77</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Фельдшерско-акушерские пункты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согласно </w:t>
            </w:r>
            <w:hyperlink r:id="rId4" w:history="1">
              <w:r w:rsidRPr="00904086">
                <w:rPr>
                  <w:rFonts w:ascii="Times New Roman" w:hAnsi="Times New Roman"/>
                  <w:color w:val="00466E"/>
                  <w:sz w:val="21"/>
                  <w:szCs w:val="21"/>
                  <w:u w:val="single"/>
                  <w:lang w:eastAsia="ru-RU"/>
                </w:rPr>
                <w:t>приказу Министерства здравоохранения и социального развития РФ от 15 мая 2012 г. N 543н</w:t>
              </w:r>
            </w:hyperlink>
            <w:r w:rsidRPr="00904086">
              <w:rPr>
                <w:rFonts w:ascii="Times New Roman" w:hAnsi="Times New Roman"/>
                <w:color w:val="2D2D2D"/>
                <w:sz w:val="21"/>
                <w:szCs w:val="21"/>
                <w:lang w:eastAsia="ru-RU"/>
              </w:rPr>
              <w:t> (с изменениями </w:t>
            </w:r>
            <w:hyperlink r:id="rId5"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6"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155</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Региональная фармацевтическая сеть &lt;**&gt;</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на 100000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аптека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0,7</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аптечный пункт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4051,66</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802,13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1.10.</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&lt;***&gt;</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088"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социального обеспечения, предназначенные для обслуживания населения более чем одного муниципального района (</w:t>
            </w:r>
            <w:hyperlink r:id="rId7" w:history="1">
              <w:r w:rsidRPr="00904086">
                <w:rPr>
                  <w:rFonts w:ascii="Times New Roman" w:hAnsi="Times New Roman"/>
                  <w:color w:val="00466E"/>
                  <w:sz w:val="21"/>
                  <w:szCs w:val="21"/>
                  <w:u w:val="single"/>
                  <w:lang w:eastAsia="ru-RU"/>
                </w:rPr>
                <w:t>Закон Республики Мордовия от 28 декабря 2004 г. N 102-З "О мерах социальной поддержки отдельных категорий населения, проживающего в Республике Мордовия"</w:t>
              </w:r>
            </w:hyperlink>
            <w:r w:rsidRPr="00904086">
              <w:rPr>
                <w:rFonts w:ascii="Times New Roman" w:hAnsi="Times New Roman"/>
                <w:color w:val="2D2D2D"/>
                <w:sz w:val="21"/>
                <w:szCs w:val="21"/>
                <w:lang w:eastAsia="ru-RU"/>
              </w:rPr>
              <w:t>)</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социальной адаптации, в т.ч. центры реабилитации инвалидов, социально-оздоровительные центры для детей и взрослых</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32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&lt;***&gt; Принимается согласно </w:t>
      </w:r>
      <w:hyperlink r:id="rId8" w:history="1">
        <w:r w:rsidRPr="00904086">
          <w:rPr>
            <w:rFonts w:ascii="Arial" w:hAnsi="Arial" w:cs="Arial"/>
            <w:color w:val="00466E"/>
            <w:spacing w:val="2"/>
            <w:sz w:val="21"/>
            <w:szCs w:val="21"/>
            <w:u w:val="single"/>
            <w:lang w:eastAsia="ru-RU"/>
          </w:rPr>
          <w:t>Федеральному закону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9"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10"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11"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12"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13"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14"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15"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16"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17"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18"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19"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20"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21"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22"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23"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24"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25"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26"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27"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28"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29"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30"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31"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32"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33"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34"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35"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случае отсутствия показателя (информации) пользоваться следующими документами: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СанПиН 2.1.3.2630-10 "Санитарно-эпидемиологические требования к организациям, осуществляющим медицинскую деятельность";</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6" w:history="1">
        <w:r w:rsidRPr="00904086">
          <w:rPr>
            <w:rFonts w:ascii="Arial" w:hAnsi="Arial" w:cs="Arial"/>
            <w:color w:val="00466E"/>
            <w:spacing w:val="2"/>
            <w:sz w:val="21"/>
            <w:szCs w:val="21"/>
            <w:u w:val="single"/>
            <w:lang w:eastAsia="ru-RU"/>
          </w:rPr>
          <w:t>приказ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37"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38"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 </w:t>
      </w:r>
      <w:hyperlink r:id="rId39" w:history="1">
        <w:r w:rsidRPr="00904086">
          <w:rPr>
            <w:rFonts w:ascii="Arial" w:hAnsi="Arial" w:cs="Arial"/>
            <w:color w:val="00466E"/>
            <w:spacing w:val="2"/>
            <w:sz w:val="21"/>
            <w:szCs w:val="21"/>
            <w:u w:val="single"/>
            <w:lang w:eastAsia="ru-RU"/>
          </w:rPr>
          <w:t>Федеральный закон от 21 ноября 2011 года N 323-ФЗ "Об основах охраны здоровья граждан в Российской Федерации"</w:t>
        </w:r>
      </w:hyperlink>
      <w:r w:rsidRPr="00904086">
        <w:rPr>
          <w:rFonts w:ascii="Arial" w:hAnsi="Arial" w:cs="Arial"/>
          <w:color w:val="2D2D2D"/>
          <w:spacing w:val="2"/>
          <w:sz w:val="21"/>
          <w:szCs w:val="21"/>
          <w:lang w:eastAsia="ru-RU"/>
        </w:rPr>
        <w:t> (с изменениями, внесенными </w:t>
      </w:r>
      <w:hyperlink r:id="rId40" w:history="1">
        <w:r w:rsidRPr="00904086">
          <w:rPr>
            <w:rFonts w:ascii="Arial" w:hAnsi="Arial" w:cs="Arial"/>
            <w:color w:val="00466E"/>
            <w:spacing w:val="2"/>
            <w:sz w:val="21"/>
            <w:szCs w:val="21"/>
            <w:u w:val="single"/>
            <w:lang w:eastAsia="ru-RU"/>
          </w:rPr>
          <w:t>федеральными законами от 25 июня 2012 года N 89-ФЗ</w:t>
        </w:r>
      </w:hyperlink>
      <w:r w:rsidRPr="00904086">
        <w:rPr>
          <w:rFonts w:ascii="Arial" w:hAnsi="Arial" w:cs="Arial"/>
          <w:color w:val="2D2D2D"/>
          <w:spacing w:val="2"/>
          <w:sz w:val="21"/>
          <w:szCs w:val="21"/>
          <w:lang w:eastAsia="ru-RU"/>
        </w:rPr>
        <w:t>, </w:t>
      </w:r>
      <w:hyperlink r:id="rId41" w:history="1">
        <w:r w:rsidRPr="00904086">
          <w:rPr>
            <w:rFonts w:ascii="Arial" w:hAnsi="Arial" w:cs="Arial"/>
            <w:color w:val="00466E"/>
            <w:spacing w:val="2"/>
            <w:sz w:val="21"/>
            <w:szCs w:val="21"/>
            <w:u w:val="single"/>
            <w:lang w:eastAsia="ru-RU"/>
          </w:rPr>
          <w:t>от 25 июня 2012 года N 93-ФЗ</w:t>
        </w:r>
      </w:hyperlink>
      <w:r w:rsidRPr="00904086">
        <w:rPr>
          <w:rFonts w:ascii="Arial" w:hAnsi="Arial" w:cs="Arial"/>
          <w:color w:val="2D2D2D"/>
          <w:spacing w:val="2"/>
          <w:sz w:val="21"/>
          <w:szCs w:val="21"/>
          <w:lang w:eastAsia="ru-RU"/>
        </w:rPr>
        <w:t>, </w:t>
      </w:r>
      <w:hyperlink r:id="rId42" w:history="1">
        <w:r w:rsidRPr="00904086">
          <w:rPr>
            <w:rFonts w:ascii="Arial" w:hAnsi="Arial" w:cs="Arial"/>
            <w:color w:val="00466E"/>
            <w:spacing w:val="2"/>
            <w:sz w:val="21"/>
            <w:szCs w:val="21"/>
            <w:u w:val="single"/>
            <w:lang w:eastAsia="ru-RU"/>
          </w:rPr>
          <w:t>от 2 июля 2013 года N 167-ФЗ</w:t>
        </w:r>
      </w:hyperlink>
      <w:r w:rsidRPr="00904086">
        <w:rPr>
          <w:rFonts w:ascii="Arial" w:hAnsi="Arial" w:cs="Arial"/>
          <w:color w:val="2D2D2D"/>
          <w:spacing w:val="2"/>
          <w:sz w:val="21"/>
          <w:szCs w:val="21"/>
          <w:lang w:eastAsia="ru-RU"/>
        </w:rPr>
        <w:t>, </w:t>
      </w:r>
      <w:hyperlink r:id="rId43" w:history="1">
        <w:r w:rsidRPr="00904086">
          <w:rPr>
            <w:rFonts w:ascii="Arial" w:hAnsi="Arial" w:cs="Arial"/>
            <w:color w:val="00466E"/>
            <w:spacing w:val="2"/>
            <w:sz w:val="21"/>
            <w:szCs w:val="21"/>
            <w:u w:val="single"/>
            <w:lang w:eastAsia="ru-RU"/>
          </w:rPr>
          <w:t>от 2 июля 2013 года N 185-ФЗ</w:t>
        </w:r>
      </w:hyperlink>
      <w:r w:rsidRPr="00904086">
        <w:rPr>
          <w:rFonts w:ascii="Arial" w:hAnsi="Arial" w:cs="Arial"/>
          <w:color w:val="2D2D2D"/>
          <w:spacing w:val="2"/>
          <w:sz w:val="21"/>
          <w:szCs w:val="21"/>
          <w:lang w:eastAsia="ru-RU"/>
        </w:rPr>
        <w:t>, </w:t>
      </w:r>
      <w:hyperlink r:id="rId44" w:history="1">
        <w:r w:rsidRPr="00904086">
          <w:rPr>
            <w:rFonts w:ascii="Arial" w:hAnsi="Arial" w:cs="Arial"/>
            <w:color w:val="00466E"/>
            <w:spacing w:val="2"/>
            <w:sz w:val="21"/>
            <w:szCs w:val="21"/>
            <w:u w:val="single"/>
            <w:lang w:eastAsia="ru-RU"/>
          </w:rPr>
          <w:t>от 23 июля 2013 года N 205-ФЗ</w:t>
        </w:r>
      </w:hyperlink>
      <w:r w:rsidRPr="00904086">
        <w:rPr>
          <w:rFonts w:ascii="Arial" w:hAnsi="Arial" w:cs="Arial"/>
          <w:color w:val="2D2D2D"/>
          <w:spacing w:val="2"/>
          <w:sz w:val="21"/>
          <w:szCs w:val="21"/>
          <w:lang w:eastAsia="ru-RU"/>
        </w:rPr>
        <w:t>, </w:t>
      </w:r>
      <w:hyperlink r:id="rId45" w:history="1">
        <w:r w:rsidRPr="00904086">
          <w:rPr>
            <w:rFonts w:ascii="Arial" w:hAnsi="Arial" w:cs="Arial"/>
            <w:color w:val="00466E"/>
            <w:spacing w:val="2"/>
            <w:sz w:val="21"/>
            <w:szCs w:val="21"/>
            <w:u w:val="single"/>
            <w:lang w:eastAsia="ru-RU"/>
          </w:rPr>
          <w:t>от 27 сентября 2013 года N 253-ФЗ</w:t>
        </w:r>
      </w:hyperlink>
      <w:r w:rsidRPr="00904086">
        <w:rPr>
          <w:rFonts w:ascii="Arial" w:hAnsi="Arial" w:cs="Arial"/>
          <w:color w:val="2D2D2D"/>
          <w:spacing w:val="2"/>
          <w:sz w:val="21"/>
          <w:szCs w:val="21"/>
          <w:lang w:eastAsia="ru-RU"/>
        </w:rPr>
        <w:t>, </w:t>
      </w:r>
      <w:hyperlink r:id="rId46" w:history="1">
        <w:r w:rsidRPr="00904086">
          <w:rPr>
            <w:rFonts w:ascii="Arial" w:hAnsi="Arial" w:cs="Arial"/>
            <w:color w:val="00466E"/>
            <w:spacing w:val="2"/>
            <w:sz w:val="21"/>
            <w:szCs w:val="21"/>
            <w:u w:val="single"/>
            <w:lang w:eastAsia="ru-RU"/>
          </w:rPr>
          <w:t>от 25 ноября 2013 года N 317-ФЗ</w:t>
        </w:r>
      </w:hyperlink>
      <w:r w:rsidRPr="00904086">
        <w:rPr>
          <w:rFonts w:ascii="Arial" w:hAnsi="Arial" w:cs="Arial"/>
          <w:color w:val="2D2D2D"/>
          <w:spacing w:val="2"/>
          <w:sz w:val="21"/>
          <w:szCs w:val="21"/>
          <w:lang w:eastAsia="ru-RU"/>
        </w:rPr>
        <w:t>, </w:t>
      </w:r>
      <w:hyperlink r:id="rId47" w:history="1">
        <w:r w:rsidRPr="00904086">
          <w:rPr>
            <w:rFonts w:ascii="Arial" w:hAnsi="Arial" w:cs="Arial"/>
            <w:color w:val="00466E"/>
            <w:spacing w:val="2"/>
            <w:sz w:val="21"/>
            <w:szCs w:val="21"/>
            <w:u w:val="single"/>
            <w:lang w:eastAsia="ru-RU"/>
          </w:rPr>
          <w:t>от 28 декабря 2013 года N 386-ФЗ</w:t>
        </w:r>
      </w:hyperlink>
      <w:r w:rsidRPr="00904086">
        <w:rPr>
          <w:rFonts w:ascii="Arial" w:hAnsi="Arial" w:cs="Arial"/>
          <w:color w:val="2D2D2D"/>
          <w:spacing w:val="2"/>
          <w:sz w:val="21"/>
          <w:szCs w:val="21"/>
          <w:lang w:eastAsia="ru-RU"/>
        </w:rPr>
        <w:t>, </w:t>
      </w:r>
      <w:hyperlink r:id="rId48" w:history="1">
        <w:r w:rsidRPr="00904086">
          <w:rPr>
            <w:rFonts w:ascii="Arial" w:hAnsi="Arial" w:cs="Arial"/>
            <w:color w:val="00466E"/>
            <w:spacing w:val="2"/>
            <w:sz w:val="21"/>
            <w:szCs w:val="21"/>
            <w:u w:val="single"/>
            <w:lang w:eastAsia="ru-RU"/>
          </w:rPr>
          <w:t>от 21 июля 2014 года N 243-ФЗ</w:t>
        </w:r>
      </w:hyperlink>
      <w:r w:rsidRPr="00904086">
        <w:rPr>
          <w:rFonts w:ascii="Arial" w:hAnsi="Arial" w:cs="Arial"/>
          <w:color w:val="2D2D2D"/>
          <w:spacing w:val="2"/>
          <w:sz w:val="21"/>
          <w:szCs w:val="21"/>
          <w:lang w:eastAsia="ru-RU"/>
        </w:rPr>
        <w:t>, </w:t>
      </w:r>
      <w:hyperlink r:id="rId49" w:history="1">
        <w:r w:rsidRPr="00904086">
          <w:rPr>
            <w:rFonts w:ascii="Arial" w:hAnsi="Arial" w:cs="Arial"/>
            <w:color w:val="00466E"/>
            <w:spacing w:val="2"/>
            <w:sz w:val="21"/>
            <w:szCs w:val="21"/>
            <w:u w:val="single"/>
            <w:lang w:eastAsia="ru-RU"/>
          </w:rPr>
          <w:t>от 21 июля 2014 года N 246-ФЗ</w:t>
        </w:r>
      </w:hyperlink>
      <w:r w:rsidRPr="00904086">
        <w:rPr>
          <w:rFonts w:ascii="Arial" w:hAnsi="Arial" w:cs="Arial"/>
          <w:color w:val="2D2D2D"/>
          <w:spacing w:val="2"/>
          <w:sz w:val="21"/>
          <w:szCs w:val="21"/>
          <w:lang w:eastAsia="ru-RU"/>
        </w:rPr>
        <w:t>, </w:t>
      </w:r>
      <w:hyperlink r:id="rId50" w:history="1">
        <w:r w:rsidRPr="00904086">
          <w:rPr>
            <w:rFonts w:ascii="Arial" w:hAnsi="Arial" w:cs="Arial"/>
            <w:color w:val="00466E"/>
            <w:spacing w:val="2"/>
            <w:sz w:val="21"/>
            <w:szCs w:val="21"/>
            <w:u w:val="single"/>
            <w:lang w:eastAsia="ru-RU"/>
          </w:rPr>
          <w:t>от 21 июля 2014 года N 256-ФЗ</w:t>
        </w:r>
      </w:hyperlink>
      <w:r w:rsidRPr="00904086">
        <w:rPr>
          <w:rFonts w:ascii="Arial" w:hAnsi="Arial" w:cs="Arial"/>
          <w:color w:val="2D2D2D"/>
          <w:spacing w:val="2"/>
          <w:sz w:val="21"/>
          <w:szCs w:val="21"/>
          <w:lang w:eastAsia="ru-RU"/>
        </w:rPr>
        <w:t>, </w:t>
      </w:r>
      <w:hyperlink r:id="rId51" w:history="1">
        <w:r w:rsidRPr="00904086">
          <w:rPr>
            <w:rFonts w:ascii="Arial" w:hAnsi="Arial" w:cs="Arial"/>
            <w:color w:val="00466E"/>
            <w:spacing w:val="2"/>
            <w:sz w:val="21"/>
            <w:szCs w:val="21"/>
            <w:u w:val="single"/>
            <w:lang w:eastAsia="ru-RU"/>
          </w:rPr>
          <w:t>22 октября 2014 года N 314-ФЗ</w:t>
        </w:r>
      </w:hyperlink>
      <w:r w:rsidRPr="00904086">
        <w:rPr>
          <w:rFonts w:ascii="Arial" w:hAnsi="Arial" w:cs="Arial"/>
          <w:color w:val="2D2D2D"/>
          <w:spacing w:val="2"/>
          <w:sz w:val="21"/>
          <w:szCs w:val="21"/>
          <w:lang w:eastAsia="ru-RU"/>
        </w:rPr>
        <w:t>, </w:t>
      </w:r>
      <w:hyperlink r:id="rId52" w:history="1">
        <w:r w:rsidRPr="00904086">
          <w:rPr>
            <w:rFonts w:ascii="Arial" w:hAnsi="Arial" w:cs="Arial"/>
            <w:color w:val="00466E"/>
            <w:spacing w:val="2"/>
            <w:sz w:val="21"/>
            <w:szCs w:val="21"/>
            <w:u w:val="single"/>
            <w:lang w:eastAsia="ru-RU"/>
          </w:rPr>
          <w:t>от 1 декабря 2014 года N 418-ФЗ</w:t>
        </w:r>
      </w:hyperlink>
      <w:r w:rsidRPr="00904086">
        <w:rPr>
          <w:rFonts w:ascii="Arial" w:hAnsi="Arial" w:cs="Arial"/>
          <w:color w:val="2D2D2D"/>
          <w:spacing w:val="2"/>
          <w:sz w:val="21"/>
          <w:szCs w:val="21"/>
          <w:lang w:eastAsia="ru-RU"/>
        </w:rPr>
        <w:t>, </w:t>
      </w:r>
      <w:hyperlink r:id="rId53" w:history="1">
        <w:r w:rsidRPr="00904086">
          <w:rPr>
            <w:rFonts w:ascii="Arial" w:hAnsi="Arial" w:cs="Arial"/>
            <w:color w:val="00466E"/>
            <w:spacing w:val="2"/>
            <w:sz w:val="21"/>
            <w:szCs w:val="21"/>
            <w:u w:val="single"/>
            <w:lang w:eastAsia="ru-RU"/>
          </w:rPr>
          <w:t>от 1 декабря 2014 года N 419-ФЗ</w:t>
        </w:r>
      </w:hyperlink>
      <w:r w:rsidRPr="00904086">
        <w:rPr>
          <w:rFonts w:ascii="Arial" w:hAnsi="Arial" w:cs="Arial"/>
          <w:color w:val="2D2D2D"/>
          <w:spacing w:val="2"/>
          <w:sz w:val="21"/>
          <w:szCs w:val="21"/>
          <w:lang w:eastAsia="ru-RU"/>
        </w:rPr>
        <w:t>, </w:t>
      </w:r>
      <w:hyperlink r:id="rId54" w:history="1">
        <w:r w:rsidRPr="00904086">
          <w:rPr>
            <w:rFonts w:ascii="Arial" w:hAnsi="Arial" w:cs="Arial"/>
            <w:color w:val="00466E"/>
            <w:spacing w:val="2"/>
            <w:sz w:val="21"/>
            <w:szCs w:val="21"/>
            <w:u w:val="single"/>
            <w:lang w:eastAsia="ru-RU"/>
          </w:rPr>
          <w:t>от 31 декабря 2014 года N 519-ФЗ</w:t>
        </w:r>
      </w:hyperlink>
      <w:r w:rsidRPr="00904086">
        <w:rPr>
          <w:rFonts w:ascii="Arial" w:hAnsi="Arial" w:cs="Arial"/>
          <w:color w:val="2D2D2D"/>
          <w:spacing w:val="2"/>
          <w:sz w:val="21"/>
          <w:szCs w:val="21"/>
          <w:lang w:eastAsia="ru-RU"/>
        </w:rPr>
        <w:t>, </w:t>
      </w:r>
      <w:hyperlink r:id="rId55" w:history="1">
        <w:r w:rsidRPr="00904086">
          <w:rPr>
            <w:rFonts w:ascii="Arial" w:hAnsi="Arial" w:cs="Arial"/>
            <w:color w:val="00466E"/>
            <w:spacing w:val="2"/>
            <w:sz w:val="21"/>
            <w:szCs w:val="21"/>
            <w:u w:val="single"/>
            <w:lang w:eastAsia="ru-RU"/>
          </w:rPr>
          <w:t>от 31 декабря 2014 года N 532-ФЗ</w:t>
        </w:r>
      </w:hyperlink>
      <w:r w:rsidRPr="00904086">
        <w:rPr>
          <w:rFonts w:ascii="Arial" w:hAnsi="Arial" w:cs="Arial"/>
          <w:color w:val="2D2D2D"/>
          <w:spacing w:val="2"/>
          <w:sz w:val="21"/>
          <w:szCs w:val="21"/>
          <w:lang w:eastAsia="ru-RU"/>
        </w:rPr>
        <w:t>, </w:t>
      </w:r>
      <w:hyperlink r:id="rId56" w:history="1">
        <w:r w:rsidRPr="00904086">
          <w:rPr>
            <w:rFonts w:ascii="Arial" w:hAnsi="Arial" w:cs="Arial"/>
            <w:color w:val="00466E"/>
            <w:spacing w:val="2"/>
            <w:sz w:val="21"/>
            <w:szCs w:val="21"/>
            <w:u w:val="single"/>
            <w:lang w:eastAsia="ru-RU"/>
          </w:rPr>
          <w:t>от 8 марта 2015 года N 33-ФЗ</w:t>
        </w:r>
      </w:hyperlink>
      <w:r w:rsidRPr="00904086">
        <w:rPr>
          <w:rFonts w:ascii="Arial" w:hAnsi="Arial" w:cs="Arial"/>
          <w:color w:val="2D2D2D"/>
          <w:spacing w:val="2"/>
          <w:sz w:val="21"/>
          <w:szCs w:val="21"/>
          <w:lang w:eastAsia="ru-RU"/>
        </w:rPr>
        <w:t>, </w:t>
      </w:r>
      <w:hyperlink r:id="rId57" w:history="1">
        <w:r w:rsidRPr="00904086">
          <w:rPr>
            <w:rFonts w:ascii="Arial" w:hAnsi="Arial" w:cs="Arial"/>
            <w:color w:val="00466E"/>
            <w:spacing w:val="2"/>
            <w:sz w:val="21"/>
            <w:szCs w:val="21"/>
            <w:u w:val="single"/>
            <w:lang w:eastAsia="ru-RU"/>
          </w:rPr>
          <w:t>от 8 марта 2015 года N 55-ФЗ</w:t>
        </w:r>
      </w:hyperlink>
      <w:r w:rsidRPr="00904086">
        <w:rPr>
          <w:rFonts w:ascii="Arial" w:hAnsi="Arial" w:cs="Arial"/>
          <w:color w:val="2D2D2D"/>
          <w:spacing w:val="2"/>
          <w:sz w:val="21"/>
          <w:szCs w:val="21"/>
          <w:lang w:eastAsia="ru-RU"/>
        </w:rPr>
        <w:t>, </w:t>
      </w:r>
      <w:hyperlink r:id="rId58" w:history="1">
        <w:r w:rsidRPr="00904086">
          <w:rPr>
            <w:rFonts w:ascii="Arial" w:hAnsi="Arial" w:cs="Arial"/>
            <w:color w:val="00466E"/>
            <w:spacing w:val="2"/>
            <w:sz w:val="21"/>
            <w:szCs w:val="21"/>
            <w:u w:val="single"/>
            <w:lang w:eastAsia="ru-RU"/>
          </w:rPr>
          <w:t>от 6 апреля 2015 года N 78-ФЗ</w:t>
        </w:r>
      </w:hyperlink>
      <w:r w:rsidRPr="00904086">
        <w:rPr>
          <w:rFonts w:ascii="Arial" w:hAnsi="Arial" w:cs="Arial"/>
          <w:color w:val="2D2D2D"/>
          <w:spacing w:val="2"/>
          <w:sz w:val="21"/>
          <w:szCs w:val="21"/>
          <w:lang w:eastAsia="ru-RU"/>
        </w:rPr>
        <w:t>, </w:t>
      </w:r>
      <w:hyperlink r:id="rId59" w:history="1">
        <w:r w:rsidRPr="00904086">
          <w:rPr>
            <w:rFonts w:ascii="Arial" w:hAnsi="Arial" w:cs="Arial"/>
            <w:color w:val="00466E"/>
            <w:spacing w:val="2"/>
            <w:sz w:val="21"/>
            <w:szCs w:val="21"/>
            <w:u w:val="single"/>
            <w:lang w:eastAsia="ru-RU"/>
          </w:rPr>
          <w:t>от 29 июня 2015 года N 160-ФЗ</w:t>
        </w:r>
      </w:hyperlink>
      <w:r w:rsidRPr="00904086">
        <w:rPr>
          <w:rFonts w:ascii="Arial" w:hAnsi="Arial" w:cs="Arial"/>
          <w:color w:val="2D2D2D"/>
          <w:spacing w:val="2"/>
          <w:sz w:val="21"/>
          <w:szCs w:val="21"/>
          <w:lang w:eastAsia="ru-RU"/>
        </w:rPr>
        <w:t>, </w:t>
      </w:r>
      <w:hyperlink r:id="rId60" w:history="1">
        <w:r w:rsidRPr="00904086">
          <w:rPr>
            <w:rFonts w:ascii="Arial" w:hAnsi="Arial" w:cs="Arial"/>
            <w:color w:val="00466E"/>
            <w:spacing w:val="2"/>
            <w:sz w:val="21"/>
            <w:szCs w:val="21"/>
            <w:u w:val="single"/>
            <w:lang w:eastAsia="ru-RU"/>
          </w:rPr>
          <w:t>от 13 июля 2015 года N 213-ФЗ</w:t>
        </w:r>
      </w:hyperlink>
      <w:r w:rsidRPr="00904086">
        <w:rPr>
          <w:rFonts w:ascii="Arial" w:hAnsi="Arial" w:cs="Arial"/>
          <w:color w:val="2D2D2D"/>
          <w:spacing w:val="2"/>
          <w:sz w:val="21"/>
          <w:szCs w:val="21"/>
          <w:lang w:eastAsia="ru-RU"/>
        </w:rPr>
        <w:t>, </w:t>
      </w:r>
      <w:hyperlink r:id="rId61" w:history="1">
        <w:r w:rsidRPr="00904086">
          <w:rPr>
            <w:rFonts w:ascii="Arial" w:hAnsi="Arial" w:cs="Arial"/>
            <w:color w:val="00466E"/>
            <w:spacing w:val="2"/>
            <w:sz w:val="21"/>
            <w:szCs w:val="21"/>
            <w:u w:val="single"/>
            <w:lang w:eastAsia="ru-RU"/>
          </w:rPr>
          <w:t>от 13 июля 2015 года N 230-ФЗ</w:t>
        </w:r>
      </w:hyperlink>
      <w:r w:rsidRPr="00904086">
        <w:rPr>
          <w:rFonts w:ascii="Arial" w:hAnsi="Arial" w:cs="Arial"/>
          <w:color w:val="2D2D2D"/>
          <w:spacing w:val="2"/>
          <w:sz w:val="21"/>
          <w:szCs w:val="21"/>
          <w:lang w:eastAsia="ru-RU"/>
        </w:rPr>
        <w:t>, </w:t>
      </w:r>
      <w:hyperlink r:id="rId62" w:history="1">
        <w:r w:rsidRPr="00904086">
          <w:rPr>
            <w:rFonts w:ascii="Arial" w:hAnsi="Arial" w:cs="Arial"/>
            <w:color w:val="00466E"/>
            <w:spacing w:val="2"/>
            <w:sz w:val="21"/>
            <w:szCs w:val="21"/>
            <w:u w:val="single"/>
            <w:lang w:eastAsia="ru-RU"/>
          </w:rPr>
          <w:t>от 13 июля 2015 года N 233-ФЗ</w:t>
        </w:r>
      </w:hyperlink>
      <w:r w:rsidRPr="00904086">
        <w:rPr>
          <w:rFonts w:ascii="Arial" w:hAnsi="Arial" w:cs="Arial"/>
          <w:color w:val="2D2D2D"/>
          <w:spacing w:val="2"/>
          <w:sz w:val="21"/>
          <w:szCs w:val="21"/>
          <w:lang w:eastAsia="ru-RU"/>
        </w:rPr>
        <w:t>, </w:t>
      </w:r>
      <w:hyperlink r:id="rId63" w:history="1">
        <w:r w:rsidRPr="00904086">
          <w:rPr>
            <w:rFonts w:ascii="Arial" w:hAnsi="Arial" w:cs="Arial"/>
            <w:color w:val="00466E"/>
            <w:spacing w:val="2"/>
            <w:sz w:val="21"/>
            <w:szCs w:val="21"/>
            <w:u w:val="single"/>
            <w:lang w:eastAsia="ru-RU"/>
          </w:rPr>
          <w:t>от 13 июля 2015 года N 271-ФЗ</w:t>
        </w:r>
      </w:hyperlink>
      <w:r w:rsidRPr="00904086">
        <w:rPr>
          <w:rFonts w:ascii="Arial" w:hAnsi="Arial" w:cs="Arial"/>
          <w:color w:val="2D2D2D"/>
          <w:spacing w:val="2"/>
          <w:sz w:val="21"/>
          <w:szCs w:val="21"/>
          <w:lang w:eastAsia="ru-RU"/>
        </w:rPr>
        <w:t>, </w:t>
      </w:r>
      <w:hyperlink r:id="rId64" w:history="1">
        <w:r w:rsidRPr="00904086">
          <w:rPr>
            <w:rFonts w:ascii="Arial" w:hAnsi="Arial" w:cs="Arial"/>
            <w:color w:val="00466E"/>
            <w:spacing w:val="2"/>
            <w:sz w:val="21"/>
            <w:szCs w:val="21"/>
            <w:u w:val="single"/>
            <w:lang w:eastAsia="ru-RU"/>
          </w:rPr>
          <w:t>от 14 декабря 2015 года N 374-ФЗ</w:t>
        </w:r>
      </w:hyperlink>
      <w:r w:rsidRPr="00904086">
        <w:rPr>
          <w:rFonts w:ascii="Arial" w:hAnsi="Arial" w:cs="Arial"/>
          <w:color w:val="2D2D2D"/>
          <w:spacing w:val="2"/>
          <w:sz w:val="21"/>
          <w:szCs w:val="21"/>
          <w:lang w:eastAsia="ru-RU"/>
        </w:rPr>
        <w:t>, </w:t>
      </w:r>
      <w:hyperlink r:id="rId65" w:history="1">
        <w:r w:rsidRPr="00904086">
          <w:rPr>
            <w:rFonts w:ascii="Arial" w:hAnsi="Arial" w:cs="Arial"/>
            <w:color w:val="00466E"/>
            <w:spacing w:val="2"/>
            <w:sz w:val="21"/>
            <w:szCs w:val="21"/>
            <w:u w:val="single"/>
            <w:lang w:eastAsia="ru-RU"/>
          </w:rPr>
          <w:t>от 29 декабря 2015 года N 389-ФЗ</w:t>
        </w:r>
      </w:hyperlink>
      <w:r w:rsidRPr="00904086">
        <w:rPr>
          <w:rFonts w:ascii="Arial" w:hAnsi="Arial" w:cs="Arial"/>
          <w:color w:val="2D2D2D"/>
          <w:spacing w:val="2"/>
          <w:sz w:val="21"/>
          <w:szCs w:val="21"/>
          <w:lang w:eastAsia="ru-RU"/>
        </w:rPr>
        <w:t>, </w:t>
      </w:r>
      <w:hyperlink r:id="rId66" w:history="1">
        <w:r w:rsidRPr="00904086">
          <w:rPr>
            <w:rFonts w:ascii="Arial" w:hAnsi="Arial" w:cs="Arial"/>
            <w:color w:val="00466E"/>
            <w:spacing w:val="2"/>
            <w:sz w:val="21"/>
            <w:szCs w:val="21"/>
            <w:u w:val="single"/>
            <w:lang w:eastAsia="ru-RU"/>
          </w:rPr>
          <w:t>от 29 декабря 2015 года N 408-ФЗ</w:t>
        </w:r>
      </w:hyperlink>
      <w:r w:rsidRPr="00904086">
        <w:rPr>
          <w:rFonts w:ascii="Arial" w:hAnsi="Arial" w:cs="Arial"/>
          <w:color w:val="2D2D2D"/>
          <w:spacing w:val="2"/>
          <w:sz w:val="21"/>
          <w:szCs w:val="21"/>
          <w:lang w:eastAsia="ru-RU"/>
        </w:rPr>
        <w:t>, от 26 апреля 2016 года N 112-ФЗ, 3 июля 2016 года N 286-ФЗ).</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1.1.4. Расчетные показатели в области физической культуры и 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1.1.4(а) Расчетные показатели объектов, относящихся к области физической культуры и спорта</w:t>
      </w:r>
    </w:p>
    <w:tbl>
      <w:tblPr>
        <w:tblW w:w="0" w:type="auto"/>
        <w:tblCellMar>
          <w:left w:w="0" w:type="dxa"/>
          <w:right w:w="0" w:type="dxa"/>
        </w:tblCellMar>
        <w:tblLook w:val="00A0"/>
      </w:tblPr>
      <w:tblGrid>
        <w:gridCol w:w="539"/>
        <w:gridCol w:w="2606"/>
        <w:gridCol w:w="1998"/>
        <w:gridCol w:w="1215"/>
        <w:gridCol w:w="2348"/>
        <w:gridCol w:w="1215"/>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3142"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43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Открытые плоскостные спортивные сооружения регионального типа,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единовременная пропускная способность,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зеркала воды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единовременная пропускная способность тренировочной базы, кол-во человек на 1000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1.1.5. Расчетные показатели в области культуры и искусства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67" w:history="1">
        <w:r w:rsidRPr="00904086">
          <w:rPr>
            <w:rFonts w:ascii="Arial" w:hAnsi="Arial" w:cs="Arial"/>
            <w:color w:val="00466E"/>
            <w:spacing w:val="2"/>
            <w:sz w:val="21"/>
            <w:szCs w:val="21"/>
            <w:u w:val="single"/>
            <w:lang w:eastAsia="ru-RU"/>
          </w:rPr>
          <w:t>постановлением Правительства Республики Мордовия от 22 октября 2012 года N 379 "Об утверждении положения о Министерстве культуры и туризма Республики Мордовия"</w:t>
        </w:r>
      </w:hyperlink>
      <w:r w:rsidRPr="00904086">
        <w:rPr>
          <w:rFonts w:ascii="Arial" w:hAnsi="Arial" w:cs="Arial"/>
          <w:color w:val="2D2D2D"/>
          <w:spacing w:val="2"/>
          <w:sz w:val="21"/>
          <w:szCs w:val="21"/>
          <w:lang w:eastAsia="ru-RU"/>
        </w:rPr>
        <w:t>. Расчетные показатели минимально допустимого уровня обеспеченности объектами регионального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1.1.5(а). Расчетные показатели объектов, относящихся к области культуры и искусства</w:t>
      </w:r>
    </w:p>
    <w:tbl>
      <w:tblPr>
        <w:tblW w:w="0" w:type="auto"/>
        <w:tblCellMar>
          <w:left w:w="0" w:type="dxa"/>
          <w:right w:w="0" w:type="dxa"/>
        </w:tblCellMar>
        <w:tblLook w:val="00A0"/>
      </w:tblPr>
      <w:tblGrid>
        <w:gridCol w:w="544"/>
        <w:gridCol w:w="2646"/>
        <w:gridCol w:w="1691"/>
        <w:gridCol w:w="1248"/>
        <w:gridCol w:w="2280"/>
        <w:gridCol w:w="1512"/>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587"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единицы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Культурно-досуговые учреждения (в т.ч. музеи, дома культуры) регионального значения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Саранск (1)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76</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2,5</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Государственные театры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Концертные залы Республики Мордовия, в т.ч. филармония.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библиотеки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4000 - 4500</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установлены в соответствии с полномочиями Республики Мордовия (в т.ч.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1.1.6(а).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W w:w="0" w:type="auto"/>
        <w:tblCellMar>
          <w:left w:w="0" w:type="dxa"/>
          <w:right w:w="0" w:type="dxa"/>
        </w:tblCellMar>
        <w:tblLook w:val="00A0"/>
      </w:tblPr>
      <w:tblGrid>
        <w:gridCol w:w="529"/>
        <w:gridCol w:w="2412"/>
        <w:gridCol w:w="1524"/>
        <w:gridCol w:w="1197"/>
        <w:gridCol w:w="1873"/>
        <w:gridCol w:w="2386"/>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2587"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554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депо, посты пожарной охраны</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 при численности жителей &lt;*&gt;:</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время прибытия первого подразделения пожарной охраны, мин.</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10 - для городских округов и поселений;</w:t>
            </w:r>
            <w:r w:rsidRPr="00904086">
              <w:rPr>
                <w:rFonts w:ascii="Times New Roman" w:hAnsi="Times New Roman"/>
                <w:color w:val="2D2D2D"/>
                <w:sz w:val="21"/>
                <w:szCs w:val="21"/>
                <w:lang w:eastAsia="ru-RU"/>
              </w:rPr>
              <w:br/>
            </w:r>
            <w:r w:rsidRPr="00904086">
              <w:rPr>
                <w:rFonts w:ascii="Times New Roman" w:hAnsi="Times New Roman"/>
                <w:color w:val="2D2D2D"/>
                <w:sz w:val="21"/>
                <w:szCs w:val="21"/>
                <w:lang w:eastAsia="ru-RU"/>
              </w:rPr>
              <w:br/>
              <w:t>20 - для сельских поселений</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5000</w:t>
            </w:r>
            <w:r w:rsidRPr="00904086">
              <w:rPr>
                <w:rFonts w:ascii="Times New Roman" w:hAnsi="Times New Roman"/>
                <w:color w:val="2D2D2D"/>
                <w:sz w:val="21"/>
                <w:szCs w:val="21"/>
                <w:lang w:eastAsia="ru-RU"/>
              </w:rPr>
              <w:br/>
              <w:t>до 20000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 объект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20000 до 50000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 объекта на 6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 50000 до 100000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 объекта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300000 и более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4 - 7 объектов на 6 - 8 постов</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Защитные сооружения гражданской обороны (убежища, противорадиационные укрытия) &lt;**&gt;</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м(2) на 1000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(радиус сбора укрываемых), км</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 (3 - для противорадиационных укрытий)</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вместимость, укрываемых</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249</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Показатель определяется для каждого населенного пункта с учетом площади населенного пункта.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&lt;**&gt; Расчетные показатели обеспеченности защитными сооружениями гражданской обороны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1.1.1(б).</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 Расчетные показатели минимально допустимого уровня обеспеченности объектами регионального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регионального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иных областях и показатели максимально допустимого уровня территориальной доступности таких объектов представлены в пунктах 1.1.7.1 - 1.1.7.3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1.1.7.1.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обеспечения деятельности органов государственной власти установлены в соответствии с </w:t>
      </w:r>
      <w:hyperlink r:id="rId68"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69"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70"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71"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72"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73"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74"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75"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76"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1.1.7.1(а).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0A0"/>
      </w:tblPr>
      <w:tblGrid>
        <w:gridCol w:w="541"/>
        <w:gridCol w:w="2513"/>
        <w:gridCol w:w="1635"/>
        <w:gridCol w:w="1227"/>
        <w:gridCol w:w="2778"/>
        <w:gridCol w:w="1227"/>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3511"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80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Администрации Республики Мордовия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(объект)</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Государственный архив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1 000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помещений администраций,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Мировой суд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судей на судебный участок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до самого удаленного населенного пункта,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228</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помещений судебного участка на 1 судью, м2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1.1.7.2. Полномочия в области социального обслуживания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социального обслуживания населения установлены в соответствии с </w:t>
      </w:r>
      <w:hyperlink r:id="rId77" w:history="1">
        <w:r w:rsidRPr="00904086">
          <w:rPr>
            <w:rFonts w:ascii="Arial" w:hAnsi="Arial" w:cs="Arial"/>
            <w:color w:val="00466E"/>
            <w:spacing w:val="2"/>
            <w:sz w:val="21"/>
            <w:szCs w:val="21"/>
            <w:u w:val="single"/>
            <w:lang w:eastAsia="ru-RU"/>
          </w:rPr>
          <w:t>Законом Республики Мордовия от 28 декабря 2004 года N 102-З "О мерах социальной поддержки отдельных категорий населения, проживающего в Республике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1.1.7.2(а). Расчетные показатели объектов, относящихся к области социального обслуживания населения</w:t>
      </w:r>
    </w:p>
    <w:tbl>
      <w:tblPr>
        <w:tblW w:w="0" w:type="auto"/>
        <w:tblCellMar>
          <w:left w:w="0" w:type="dxa"/>
          <w:right w:w="0" w:type="dxa"/>
        </w:tblCellMar>
        <w:tblLook w:val="00A0"/>
      </w:tblPr>
      <w:tblGrid>
        <w:gridCol w:w="808"/>
        <w:gridCol w:w="2673"/>
        <w:gridCol w:w="1409"/>
        <w:gridCol w:w="1247"/>
        <w:gridCol w:w="2537"/>
        <w:gridCol w:w="1247"/>
      </w:tblGrid>
      <w:tr w:rsidR="003F1FBC" w:rsidRPr="00E0317E" w:rsidTr="00904086">
        <w:trPr>
          <w:trHeight w:val="15"/>
        </w:trPr>
        <w:tc>
          <w:tcPr>
            <w:tcW w:w="92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77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Многофункциональные центры оказания государственных и муниципальных услуг населению</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кол-во (объект)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транспортная доступность до самого удаленного населенного пункта,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3</w:t>
            </w:r>
          </w:p>
        </w:tc>
      </w:tr>
      <w:tr w:rsidR="003F1FBC" w:rsidRPr="00E0317E" w:rsidTr="00904086">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1.1.7.3. Полномочия в области обращения с отходами производства и 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Полномочия Республики Мордовия в области обращения с отходами производства и потребления реализуются на основании </w:t>
      </w:r>
      <w:hyperlink r:id="rId78" w:history="1">
        <w:r w:rsidRPr="00904086">
          <w:rPr>
            <w:rFonts w:ascii="Arial" w:hAnsi="Arial" w:cs="Arial"/>
            <w:color w:val="00466E"/>
            <w:spacing w:val="2"/>
            <w:sz w:val="21"/>
            <w:szCs w:val="21"/>
            <w:u w:val="single"/>
            <w:lang w:eastAsia="ru-RU"/>
          </w:rPr>
          <w:t>Федерального закона от 24 июня 1998 года N 89-ФЗ "Об отходах производства и потребления"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1.1.7.3(а). Расчетные показатели объектов, относящихся к области обращения с отходами производства и потребления</w:t>
      </w:r>
    </w:p>
    <w:tbl>
      <w:tblPr>
        <w:tblW w:w="0" w:type="auto"/>
        <w:tblCellMar>
          <w:left w:w="0" w:type="dxa"/>
          <w:right w:w="0" w:type="dxa"/>
        </w:tblCellMar>
        <w:tblLook w:val="00A0"/>
      </w:tblPr>
      <w:tblGrid>
        <w:gridCol w:w="541"/>
        <w:gridCol w:w="2978"/>
        <w:gridCol w:w="1707"/>
        <w:gridCol w:w="1226"/>
        <w:gridCol w:w="2028"/>
        <w:gridCol w:w="1441"/>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142"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Полигоны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4,8</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Мусороперерабатывающие заводы ТБО</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мощность предприятий, 1000 т отходов в год</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зависимости от мощности, 1000 т в год, не менее,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0,3</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свыше 100</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Свалки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1000</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муниципальных районов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Обоснование расчетных показателей, принятых в основной части РНГП приведено в части 2.</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1.2.1. Предельные значения в области транспорта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Положением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1.2.1(а) Предельные значения в области транспорта</w:t>
      </w:r>
    </w:p>
    <w:tbl>
      <w:tblPr>
        <w:tblW w:w="0" w:type="auto"/>
        <w:tblCellMar>
          <w:left w:w="0" w:type="dxa"/>
          <w:right w:w="0" w:type="dxa"/>
        </w:tblCellMar>
        <w:tblLook w:val="00A0"/>
      </w:tblPr>
      <w:tblGrid>
        <w:gridCol w:w="534"/>
        <w:gridCol w:w="2645"/>
        <w:gridCol w:w="2235"/>
        <w:gridCol w:w="1194"/>
        <w:gridCol w:w="1710"/>
        <w:gridCol w:w="1603"/>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696" w:type="dxa"/>
          </w:tcPr>
          <w:p w:rsidR="003F1FBC" w:rsidRPr="00904086" w:rsidRDefault="003F1FBC" w:rsidP="00904086">
            <w:pPr>
              <w:spacing w:after="0" w:line="240" w:lineRule="auto"/>
              <w:rPr>
                <w:rFonts w:ascii="Times New Roman" w:hAnsi="Times New Roman"/>
                <w:sz w:val="20"/>
                <w:szCs w:val="20"/>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в т.ч. реконструируемые местного значения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км/1 км(2) территории</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Станции технического обслуживания городского пассажирского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объектов/транспорт. предприятие</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от конечных остановок, км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Транспортно-эксплуатационные предприятия городского транспорта</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единиц/вид транспорта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1.2.2. Предельные значения в области инженерной инфраструктуры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1.2.2(а). Предельные значения в области инженерной инфраструктуры</w:t>
      </w:r>
    </w:p>
    <w:tbl>
      <w:tblPr>
        <w:tblW w:w="0" w:type="auto"/>
        <w:tblCellMar>
          <w:left w:w="0" w:type="dxa"/>
          <w:right w:w="0" w:type="dxa"/>
        </w:tblCellMar>
        <w:tblLook w:val="00A0"/>
      </w:tblPr>
      <w:tblGrid>
        <w:gridCol w:w="544"/>
        <w:gridCol w:w="2619"/>
        <w:gridCol w:w="2325"/>
        <w:gridCol w:w="1239"/>
        <w:gridCol w:w="1833"/>
        <w:gridCol w:w="1361"/>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электроснабжения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электропотребление, кВт &lt;*&gt; ч/год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тепло- и газо- 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тепло- газо- снабжение, м(3)/год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водоснабжения населения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водоснабжение, л/сут. на 1 человека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водоотведения</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водоотведение, % от водопотребления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ширина отступа от линий до зданий и сооружений,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Расчет электрических нагрузок для разных типов застройки следует производить в соответствии с нормами РД 34.20.185-94.</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1.2.3. Предельные значения расчетных показателей для объектов местного значения в области здравоохранения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1.2.3(а). Предельные значения в области здравоохранения</w:t>
      </w:r>
    </w:p>
    <w:tbl>
      <w:tblPr>
        <w:tblW w:w="0" w:type="auto"/>
        <w:tblCellMar>
          <w:left w:w="0" w:type="dxa"/>
          <w:right w:w="0" w:type="dxa"/>
        </w:tblCellMar>
        <w:tblLook w:val="00A0"/>
      </w:tblPr>
      <w:tblGrid>
        <w:gridCol w:w="547"/>
        <w:gridCol w:w="3042"/>
        <w:gridCol w:w="1781"/>
        <w:gridCol w:w="1254"/>
        <w:gridCol w:w="2043"/>
        <w:gridCol w:w="1254"/>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511"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14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 &lt;*&gt;</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Межрайонные больницы общего типа, в т.ч. детская, скорой помощи и т.д.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6,9</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1022,2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2865,5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5333</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673,42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мин</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Примечания: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&lt;*&gt; - Принимается согласно </w:t>
      </w:r>
      <w:hyperlink r:id="rId79" w:history="1">
        <w:r w:rsidRPr="00904086">
          <w:rPr>
            <w:rFonts w:ascii="Arial" w:hAnsi="Arial" w:cs="Arial"/>
            <w:color w:val="00466E"/>
            <w:spacing w:val="2"/>
            <w:sz w:val="21"/>
            <w:szCs w:val="21"/>
            <w:u w:val="single"/>
            <w:lang w:eastAsia="ru-RU"/>
          </w:rPr>
          <w:t>приказу Министерства здравоохранения и социального развития Российской Федерации от 15 мая 2012 года N 543н "Об утверждении Положения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 (с изменениями </w:t>
      </w:r>
      <w:hyperlink r:id="rId80" w:history="1">
        <w:r w:rsidRPr="00904086">
          <w:rPr>
            <w:rFonts w:ascii="Arial" w:hAnsi="Arial" w:cs="Arial"/>
            <w:color w:val="00466E"/>
            <w:spacing w:val="2"/>
            <w:sz w:val="21"/>
            <w:szCs w:val="21"/>
            <w:u w:val="single"/>
            <w:lang w:eastAsia="ru-RU"/>
          </w:rPr>
          <w:t>от 23 июня 2015 года N 361н</w:t>
        </w:r>
      </w:hyperlink>
      <w:r w:rsidRPr="00904086">
        <w:rPr>
          <w:rFonts w:ascii="Arial" w:hAnsi="Arial" w:cs="Arial"/>
          <w:color w:val="2D2D2D"/>
          <w:spacing w:val="2"/>
          <w:sz w:val="21"/>
          <w:szCs w:val="21"/>
          <w:lang w:eastAsia="ru-RU"/>
        </w:rPr>
        <w:t>, </w:t>
      </w:r>
      <w:hyperlink r:id="rId81" w:history="1">
        <w:r w:rsidRPr="00904086">
          <w:rPr>
            <w:rFonts w:ascii="Arial" w:hAnsi="Arial" w:cs="Arial"/>
            <w:color w:val="00466E"/>
            <w:spacing w:val="2"/>
            <w:sz w:val="21"/>
            <w:szCs w:val="21"/>
            <w:u w:val="single"/>
            <w:lang w:eastAsia="ru-RU"/>
          </w:rPr>
          <w:t>от 30 сентября 2015 года N 683н</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1.2.4. Предельные значения расчетных показателей в области образования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1.2.4(а). Предельные значения в области образования</w:t>
      </w:r>
    </w:p>
    <w:tbl>
      <w:tblPr>
        <w:tblW w:w="0" w:type="auto"/>
        <w:tblCellMar>
          <w:left w:w="0" w:type="dxa"/>
          <w:right w:w="0" w:type="dxa"/>
        </w:tblCellMar>
        <w:tblLook w:val="00A0"/>
      </w:tblPr>
      <w:tblGrid>
        <w:gridCol w:w="614"/>
        <w:gridCol w:w="3034"/>
        <w:gridCol w:w="1588"/>
        <w:gridCol w:w="1315"/>
        <w:gridCol w:w="1859"/>
        <w:gridCol w:w="1511"/>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696"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88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муниципального района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 (коррекционный детский сад)</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11,9</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5,95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час</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167,7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88,3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44,1</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городского округа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67,4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мин</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090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E0036B">
              <w:rPr>
                <w:rFonts w:ascii="Times New Roman" w:hAnsi="Times New Roman"/>
                <w:color w:val="2D2D2D"/>
                <w:sz w:val="21"/>
                <w:szCs w:val="21"/>
                <w:highlight w:val="yellow"/>
                <w:lang w:eastAsia="ru-RU"/>
              </w:rPr>
              <w:t>Объекты местного значения городских и сельских поселений</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Дошкольные образовательные организации для обслуживания населения городских и сельских поселений</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7,6</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Общеобразовательная организация (школа, лицей, гимназия)</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учащихся на 1000 человек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пешеходная доступность от конечных остановок общественного транспорта, м</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высокой плотности расселения (2)</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73,5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зона средней плотности расселения (3)</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38,7</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зона низкой плотности расселения (4)</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1.2.5. Предельные значения расчетных показателей в области физической культуры и спорта, отдыха и туризма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1.2.5(а). Предельные значения в области физической культуры и спорта</w:t>
      </w:r>
    </w:p>
    <w:tbl>
      <w:tblPr>
        <w:tblW w:w="0" w:type="auto"/>
        <w:tblCellMar>
          <w:left w:w="0" w:type="dxa"/>
          <w:right w:w="0" w:type="dxa"/>
        </w:tblCellMar>
        <w:tblLook w:val="00A0"/>
      </w:tblPr>
      <w:tblGrid>
        <w:gridCol w:w="541"/>
        <w:gridCol w:w="2907"/>
        <w:gridCol w:w="1691"/>
        <w:gridCol w:w="1224"/>
        <w:gridCol w:w="2334"/>
        <w:gridCol w:w="1224"/>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696"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25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1273"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по городскому округу</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для физкультурно-оздоровительных занятий (физкультурные залы)</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тыс. м(2) на 50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Плоскостные спортивные сооружения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тыс. м(2) 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19,5</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1.2.6. Предельные значения расчетных показателей в области культуры и искусства, организации досуга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1.2.6(а). Предельные значения в области культуры и искусства, организации досуга населения</w:t>
      </w:r>
    </w:p>
    <w:tbl>
      <w:tblPr>
        <w:tblW w:w="0" w:type="auto"/>
        <w:tblCellMar>
          <w:left w:w="0" w:type="dxa"/>
          <w:right w:w="0" w:type="dxa"/>
        </w:tblCellMar>
        <w:tblLook w:val="00A0"/>
      </w:tblPr>
      <w:tblGrid>
        <w:gridCol w:w="704"/>
        <w:gridCol w:w="2349"/>
        <w:gridCol w:w="1941"/>
        <w:gridCol w:w="1248"/>
        <w:gridCol w:w="2547"/>
        <w:gridCol w:w="1132"/>
      </w:tblGrid>
      <w:tr w:rsidR="003F1FBC" w:rsidRPr="00E0317E" w:rsidTr="00904086">
        <w:trPr>
          <w:trHeight w:val="15"/>
        </w:trPr>
        <w:tc>
          <w:tcPr>
            <w:tcW w:w="739"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587"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109"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по городскому округу</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Муниципальная 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Музеи, музейно-выставочные центры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городского округа,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0164"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Библиотека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объект/на 10000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1,6</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240" w:lineRule="auto"/>
              <w:rPr>
                <w:rFonts w:ascii="Times New Roman" w:hAnsi="Times New Roman"/>
                <w:sz w:val="20"/>
                <w:szCs w:val="20"/>
                <w:highlight w:val="yellow"/>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единиц хранения на 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4000</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1.2.7(а). Предельные значения в области утилизации и переработки бытовых и промышленных отходов</w:t>
      </w:r>
    </w:p>
    <w:tbl>
      <w:tblPr>
        <w:tblW w:w="0" w:type="auto"/>
        <w:tblCellMar>
          <w:left w:w="0" w:type="dxa"/>
          <w:right w:w="0" w:type="dxa"/>
        </w:tblCellMar>
        <w:tblLook w:val="00A0"/>
      </w:tblPr>
      <w:tblGrid>
        <w:gridCol w:w="548"/>
        <w:gridCol w:w="2733"/>
        <w:gridCol w:w="1732"/>
        <w:gridCol w:w="1562"/>
        <w:gridCol w:w="1934"/>
        <w:gridCol w:w="1412"/>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1848"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 твердых бытовых отходов</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тонн отходов</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 на 1000 человек</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0,05</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СЗЗ, м</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500</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84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свыше 40 га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1.2.8. Предельные значения расчетных показателей в области организации ритуальных услуг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1.2.8(а). Предельные значения в области организации ритуальных услуг</w:t>
      </w:r>
    </w:p>
    <w:tbl>
      <w:tblPr>
        <w:tblW w:w="0" w:type="auto"/>
        <w:tblCellMar>
          <w:left w:w="0" w:type="dxa"/>
          <w:right w:w="0" w:type="dxa"/>
        </w:tblCellMar>
        <w:tblLook w:val="00A0"/>
      </w:tblPr>
      <w:tblGrid>
        <w:gridCol w:w="536"/>
        <w:gridCol w:w="2732"/>
        <w:gridCol w:w="1920"/>
        <w:gridCol w:w="1266"/>
        <w:gridCol w:w="1590"/>
        <w:gridCol w:w="1877"/>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957"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1663" w:type="dxa"/>
          </w:tcPr>
          <w:p w:rsidR="003F1FBC" w:rsidRPr="00904086" w:rsidRDefault="003F1FBC" w:rsidP="00904086">
            <w:pPr>
              <w:spacing w:after="0" w:line="240" w:lineRule="auto"/>
              <w:rPr>
                <w:rFonts w:ascii="Times New Roman" w:hAnsi="Times New Roman"/>
                <w:sz w:val="20"/>
                <w:szCs w:val="20"/>
                <w:lang w:eastAsia="ru-RU"/>
              </w:rPr>
            </w:pPr>
          </w:p>
        </w:tc>
        <w:tc>
          <w:tcPr>
            <w:tcW w:w="2033"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332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Минимально допустимый уровень обеспеченности</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Максимально допустимый уровень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166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Бюро ритуальных услуг</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не нормируется</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95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Кладбища традиционного захоронения</w:t>
            </w:r>
          </w:p>
        </w:tc>
        <w:tc>
          <w:tcPr>
            <w:tcW w:w="203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га/1000 человек</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0,24</w:t>
            </w:r>
          </w:p>
        </w:tc>
        <w:tc>
          <w:tcPr>
            <w:tcW w:w="36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1.2.9. Полномочия в области обеспечения деятельности органов государственной власти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82" w:history="1">
        <w:r w:rsidRPr="00904086">
          <w:rPr>
            <w:rFonts w:ascii="Arial" w:hAnsi="Arial" w:cs="Arial"/>
            <w:color w:val="00466E"/>
            <w:spacing w:val="2"/>
            <w:sz w:val="21"/>
            <w:szCs w:val="21"/>
            <w:u w:val="single"/>
            <w:lang w:eastAsia="ru-RU"/>
          </w:rPr>
          <w:t>постановлением Правительства Республики Мордовия от 16 января 2006 года N 7 "Об утверждении положения о Государственном комитете имущественных и земельных отношений Республики Мордовия"</w:t>
        </w:r>
      </w:hyperlink>
      <w:r w:rsidRPr="00904086">
        <w:rPr>
          <w:rFonts w:ascii="Arial" w:hAnsi="Arial" w:cs="Arial"/>
          <w:color w:val="2D2D2D"/>
          <w:spacing w:val="2"/>
          <w:sz w:val="21"/>
          <w:szCs w:val="21"/>
          <w:lang w:eastAsia="ru-RU"/>
        </w:rPr>
        <w:t> (с изменениями, внесенными </w:t>
      </w:r>
      <w:hyperlink r:id="rId83" w:history="1">
        <w:r w:rsidRPr="00904086">
          <w:rPr>
            <w:rFonts w:ascii="Arial" w:hAnsi="Arial" w:cs="Arial"/>
            <w:color w:val="00466E"/>
            <w:spacing w:val="2"/>
            <w:sz w:val="21"/>
            <w:szCs w:val="21"/>
            <w:u w:val="single"/>
            <w:lang w:eastAsia="ru-RU"/>
          </w:rPr>
          <w:t>постановлениями Правительства Республики Мордовия от 28 сентября 2007 года N 439</w:t>
        </w:r>
      </w:hyperlink>
      <w:r w:rsidRPr="00904086">
        <w:rPr>
          <w:rFonts w:ascii="Arial" w:hAnsi="Arial" w:cs="Arial"/>
          <w:color w:val="2D2D2D"/>
          <w:spacing w:val="2"/>
          <w:sz w:val="21"/>
          <w:szCs w:val="21"/>
          <w:lang w:eastAsia="ru-RU"/>
        </w:rPr>
        <w:t>, </w:t>
      </w:r>
      <w:hyperlink r:id="rId84" w:history="1">
        <w:r w:rsidRPr="00904086">
          <w:rPr>
            <w:rFonts w:ascii="Arial" w:hAnsi="Arial" w:cs="Arial"/>
            <w:color w:val="00466E"/>
            <w:spacing w:val="2"/>
            <w:sz w:val="21"/>
            <w:szCs w:val="21"/>
            <w:u w:val="single"/>
            <w:lang w:eastAsia="ru-RU"/>
          </w:rPr>
          <w:t>от 5 июня 2008 года N 251</w:t>
        </w:r>
      </w:hyperlink>
      <w:r w:rsidRPr="00904086">
        <w:rPr>
          <w:rFonts w:ascii="Arial" w:hAnsi="Arial" w:cs="Arial"/>
          <w:color w:val="2D2D2D"/>
          <w:spacing w:val="2"/>
          <w:sz w:val="21"/>
          <w:szCs w:val="21"/>
          <w:lang w:eastAsia="ru-RU"/>
        </w:rPr>
        <w:t>, </w:t>
      </w:r>
      <w:hyperlink r:id="rId85" w:history="1">
        <w:r w:rsidRPr="00904086">
          <w:rPr>
            <w:rFonts w:ascii="Arial" w:hAnsi="Arial" w:cs="Arial"/>
            <w:color w:val="00466E"/>
            <w:spacing w:val="2"/>
            <w:sz w:val="21"/>
            <w:szCs w:val="21"/>
            <w:u w:val="single"/>
            <w:lang w:eastAsia="ru-RU"/>
          </w:rPr>
          <w:t>от 25 августа 2008 года N 380</w:t>
        </w:r>
      </w:hyperlink>
      <w:r w:rsidRPr="00904086">
        <w:rPr>
          <w:rFonts w:ascii="Arial" w:hAnsi="Arial" w:cs="Arial"/>
          <w:color w:val="2D2D2D"/>
          <w:spacing w:val="2"/>
          <w:sz w:val="21"/>
          <w:szCs w:val="21"/>
          <w:lang w:eastAsia="ru-RU"/>
        </w:rPr>
        <w:t>, от 27 апреля 2009 года N 173, </w:t>
      </w:r>
      <w:hyperlink r:id="rId86" w:history="1">
        <w:r w:rsidRPr="00904086">
          <w:rPr>
            <w:rFonts w:ascii="Arial" w:hAnsi="Arial" w:cs="Arial"/>
            <w:color w:val="00466E"/>
            <w:spacing w:val="2"/>
            <w:sz w:val="21"/>
            <w:szCs w:val="21"/>
            <w:u w:val="single"/>
            <w:lang w:eastAsia="ru-RU"/>
          </w:rPr>
          <w:t>от 21 сентября 2009 года N 404</w:t>
        </w:r>
      </w:hyperlink>
      <w:r w:rsidRPr="00904086">
        <w:rPr>
          <w:rFonts w:ascii="Arial" w:hAnsi="Arial" w:cs="Arial"/>
          <w:color w:val="2D2D2D"/>
          <w:spacing w:val="2"/>
          <w:sz w:val="21"/>
          <w:szCs w:val="21"/>
          <w:lang w:eastAsia="ru-RU"/>
        </w:rPr>
        <w:t>, от 12 апреля 2010 года N 155, </w:t>
      </w:r>
      <w:hyperlink r:id="rId87" w:history="1">
        <w:r w:rsidRPr="00904086">
          <w:rPr>
            <w:rFonts w:ascii="Arial" w:hAnsi="Arial" w:cs="Arial"/>
            <w:color w:val="00466E"/>
            <w:spacing w:val="2"/>
            <w:sz w:val="21"/>
            <w:szCs w:val="21"/>
            <w:u w:val="single"/>
            <w:lang w:eastAsia="ru-RU"/>
          </w:rPr>
          <w:t>от 13 декабря 2010 года N 486</w:t>
        </w:r>
      </w:hyperlink>
      <w:r w:rsidRPr="00904086">
        <w:rPr>
          <w:rFonts w:ascii="Arial" w:hAnsi="Arial" w:cs="Arial"/>
          <w:color w:val="2D2D2D"/>
          <w:spacing w:val="2"/>
          <w:sz w:val="21"/>
          <w:szCs w:val="21"/>
          <w:lang w:eastAsia="ru-RU"/>
        </w:rPr>
        <w:t>, </w:t>
      </w:r>
      <w:hyperlink r:id="rId88" w:history="1">
        <w:r w:rsidRPr="00904086">
          <w:rPr>
            <w:rFonts w:ascii="Arial" w:hAnsi="Arial" w:cs="Arial"/>
            <w:color w:val="00466E"/>
            <w:spacing w:val="2"/>
            <w:sz w:val="21"/>
            <w:szCs w:val="21"/>
            <w:u w:val="single"/>
            <w:lang w:eastAsia="ru-RU"/>
          </w:rPr>
          <w:t>от 5 сентября 2011 года N 335</w:t>
        </w:r>
      </w:hyperlink>
      <w:r w:rsidRPr="00904086">
        <w:rPr>
          <w:rFonts w:ascii="Arial" w:hAnsi="Arial" w:cs="Arial"/>
          <w:color w:val="2D2D2D"/>
          <w:spacing w:val="2"/>
          <w:sz w:val="21"/>
          <w:szCs w:val="21"/>
          <w:lang w:eastAsia="ru-RU"/>
        </w:rPr>
        <w:t>, </w:t>
      </w:r>
      <w:hyperlink r:id="rId89" w:history="1">
        <w:r w:rsidRPr="00904086">
          <w:rPr>
            <w:rFonts w:ascii="Arial" w:hAnsi="Arial" w:cs="Arial"/>
            <w:color w:val="00466E"/>
            <w:spacing w:val="2"/>
            <w:sz w:val="21"/>
            <w:szCs w:val="21"/>
            <w:u w:val="single"/>
            <w:lang w:eastAsia="ru-RU"/>
          </w:rPr>
          <w:t>от 17 февраля 2014 года N 68</w:t>
        </w:r>
      </w:hyperlink>
      <w:r w:rsidRPr="00904086">
        <w:rPr>
          <w:rFonts w:ascii="Arial" w:hAnsi="Arial" w:cs="Arial"/>
          <w:color w:val="2D2D2D"/>
          <w:spacing w:val="2"/>
          <w:sz w:val="21"/>
          <w:szCs w:val="21"/>
          <w:lang w:eastAsia="ru-RU"/>
        </w:rPr>
        <w:t>, от 20 октября 2014 года N 511, </w:t>
      </w:r>
      <w:hyperlink r:id="rId90" w:history="1">
        <w:r w:rsidRPr="00904086">
          <w:rPr>
            <w:rFonts w:ascii="Arial" w:hAnsi="Arial" w:cs="Arial"/>
            <w:color w:val="00466E"/>
            <w:spacing w:val="2"/>
            <w:sz w:val="21"/>
            <w:szCs w:val="21"/>
            <w:u w:val="single"/>
            <w:lang w:eastAsia="ru-RU"/>
          </w:rPr>
          <w:t>от 3 августа 2015 года N 460</w:t>
        </w:r>
      </w:hyperlink>
      <w:r w:rsidRPr="00904086">
        <w:rPr>
          <w:rFonts w:ascii="Arial" w:hAnsi="Arial" w:cs="Arial"/>
          <w:color w:val="2D2D2D"/>
          <w:spacing w:val="2"/>
          <w:sz w:val="21"/>
          <w:szCs w:val="21"/>
          <w:lang w:eastAsia="ru-RU"/>
        </w:rPr>
        <w:t>, от 27 января 2016 года N 27).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1.2.9(а).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1.2.9(а). Расчетные показатели объектов, относящихся к области обеспечения деятельности органов государственной власти</w:t>
      </w:r>
    </w:p>
    <w:tbl>
      <w:tblPr>
        <w:tblW w:w="0" w:type="auto"/>
        <w:tblCellMar>
          <w:left w:w="0" w:type="dxa"/>
          <w:right w:w="0" w:type="dxa"/>
        </w:tblCellMar>
        <w:tblLook w:val="00A0"/>
      </w:tblPr>
      <w:tblGrid>
        <w:gridCol w:w="614"/>
        <w:gridCol w:w="2249"/>
        <w:gridCol w:w="2493"/>
        <w:gridCol w:w="1256"/>
        <w:gridCol w:w="2053"/>
        <w:gridCol w:w="1256"/>
      </w:tblGrid>
      <w:tr w:rsidR="003F1FBC" w:rsidRPr="00E0317E" w:rsidTr="00904086">
        <w:trPr>
          <w:trHeight w:val="15"/>
        </w:trPr>
        <w:tc>
          <w:tcPr>
            <w:tcW w:w="554"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2402" w:type="dxa"/>
          </w:tcPr>
          <w:p w:rsidR="003F1FBC" w:rsidRPr="00904086" w:rsidRDefault="003F1FBC" w:rsidP="00904086">
            <w:pPr>
              <w:spacing w:after="0" w:line="240" w:lineRule="auto"/>
              <w:rPr>
                <w:rFonts w:ascii="Times New Roman" w:hAnsi="Times New Roman"/>
                <w:sz w:val="20"/>
                <w:szCs w:val="20"/>
                <w:lang w:eastAsia="ru-RU"/>
              </w:rPr>
            </w:pPr>
          </w:p>
        </w:tc>
        <w:tc>
          <w:tcPr>
            <w:tcW w:w="2772"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406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минимально допустимого уровня обеспеченности</w:t>
            </w:r>
          </w:p>
        </w:tc>
        <w:tc>
          <w:tcPr>
            <w:tcW w:w="351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максимально допустимого уровня территориальной доступности</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единица измерения</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величина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обеспечения деятельности органов государственной власти, находящиеся в собственности муниципального района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54</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обеспечения деятельности органов государственной власти, находящиеся в собственности городского округа</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9979" w:type="dxa"/>
            <w:gridSpan w:val="5"/>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городских и сельских поселений</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человек (сотрудников) на 10000 жителей</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транспортная доступность в пределах населенного пункта, в котором расположен объект, от крайних жилых массивов, км</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1,5</w:t>
            </w:r>
          </w:p>
        </w:tc>
      </w:tr>
      <w:tr w:rsidR="003F1FBC" w:rsidRPr="00E0317E" w:rsidTr="00904086">
        <w:tc>
          <w:tcPr>
            <w:tcW w:w="55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240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м2 на сотрудника</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 Материалы по обоснованию расчетных показателей, принятых в основной части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Обоснование расчетных показателей минимально допустимого уровня обеспеченности объектами регионального значения и максимально допустимого уровня территориальной доступности таких объектов для населения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Расчетные показатели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регионального значения.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Нормирование части расчетных показателей минимально допустимого уровня обеспеченности объектами регионального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Муниципальные районы Республики Мордовия отнесены к одной из трех категорий зонирования по плотности расселения (соответственно зонам в таблице 1.1.1(а). Ранжирование территорий принято на основании сведений Федеральной службы государственной статистики по Республике Мордовия о численности населения муниципальных районов области, сведений о площади территорий и рассчитанной плотности расселения по формуле: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Hм.р. / Sм.р.;</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где Hм.р. - число жителей муниципального района, Sм.р. - площадь территории. Обоснование зонирования Республики Мордовия по плотности расселения представлено в таблице 2.1(а):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2.1(а)</w:t>
      </w:r>
    </w:p>
    <w:tbl>
      <w:tblPr>
        <w:tblW w:w="0" w:type="auto"/>
        <w:tblCellMar>
          <w:left w:w="0" w:type="dxa"/>
          <w:right w:w="0" w:type="dxa"/>
        </w:tblCellMar>
        <w:tblLook w:val="00A0"/>
      </w:tblPr>
      <w:tblGrid>
        <w:gridCol w:w="2415"/>
        <w:gridCol w:w="1299"/>
        <w:gridCol w:w="1171"/>
        <w:gridCol w:w="1359"/>
        <w:gridCol w:w="919"/>
        <w:gridCol w:w="919"/>
        <w:gridCol w:w="920"/>
        <w:gridCol w:w="919"/>
      </w:tblGrid>
      <w:tr w:rsidR="003F1FBC" w:rsidRPr="00E0317E" w:rsidTr="00904086">
        <w:trPr>
          <w:trHeight w:val="15"/>
        </w:trPr>
        <w:tc>
          <w:tcPr>
            <w:tcW w:w="2772"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1478" w:type="dxa"/>
          </w:tcPr>
          <w:p w:rsidR="003F1FBC" w:rsidRPr="00904086" w:rsidRDefault="003F1FBC" w:rsidP="00904086">
            <w:pPr>
              <w:spacing w:after="0" w:line="240" w:lineRule="auto"/>
              <w:rPr>
                <w:rFonts w:ascii="Times New Roman" w:hAnsi="Times New Roman"/>
                <w:sz w:val="20"/>
                <w:szCs w:val="20"/>
                <w:lang w:eastAsia="ru-RU"/>
              </w:rPr>
            </w:pPr>
          </w:p>
        </w:tc>
        <w:tc>
          <w:tcPr>
            <w:tcW w:w="1294" w:type="dxa"/>
          </w:tcPr>
          <w:p w:rsidR="003F1FBC" w:rsidRPr="00904086" w:rsidRDefault="003F1FBC" w:rsidP="00904086">
            <w:pPr>
              <w:spacing w:after="0" w:line="240" w:lineRule="auto"/>
              <w:rPr>
                <w:rFonts w:ascii="Times New Roman" w:hAnsi="Times New Roman"/>
                <w:sz w:val="20"/>
                <w:szCs w:val="20"/>
                <w:lang w:eastAsia="ru-RU"/>
              </w:rPr>
            </w:pPr>
          </w:p>
        </w:tc>
        <w:tc>
          <w:tcPr>
            <w:tcW w:w="3142" w:type="dxa"/>
          </w:tcPr>
          <w:p w:rsidR="003F1FBC" w:rsidRPr="00904086" w:rsidRDefault="003F1FBC" w:rsidP="00904086">
            <w:pPr>
              <w:spacing w:after="0" w:line="240" w:lineRule="auto"/>
              <w:rPr>
                <w:rFonts w:ascii="Times New Roman" w:hAnsi="Times New Roman"/>
                <w:sz w:val="20"/>
                <w:szCs w:val="20"/>
                <w:lang w:eastAsia="ru-RU"/>
              </w:rPr>
            </w:pPr>
          </w:p>
        </w:tc>
        <w:tc>
          <w:tcPr>
            <w:tcW w:w="924" w:type="dxa"/>
          </w:tcPr>
          <w:p w:rsidR="003F1FBC" w:rsidRPr="00904086" w:rsidRDefault="003F1FBC" w:rsidP="00904086">
            <w:pPr>
              <w:spacing w:after="0" w:line="240" w:lineRule="auto"/>
              <w:rPr>
                <w:rFonts w:ascii="Times New Roman" w:hAnsi="Times New Roman"/>
                <w:sz w:val="20"/>
                <w:szCs w:val="20"/>
                <w:lang w:eastAsia="ru-RU"/>
              </w:rPr>
            </w:pPr>
          </w:p>
        </w:tc>
        <w:tc>
          <w:tcPr>
            <w:tcW w:w="924" w:type="dxa"/>
          </w:tcPr>
          <w:p w:rsidR="003F1FBC" w:rsidRPr="00904086" w:rsidRDefault="003F1FBC" w:rsidP="00904086">
            <w:pPr>
              <w:spacing w:after="0" w:line="240" w:lineRule="auto"/>
              <w:rPr>
                <w:rFonts w:ascii="Times New Roman" w:hAnsi="Times New Roman"/>
                <w:sz w:val="20"/>
                <w:szCs w:val="20"/>
                <w:lang w:eastAsia="ru-RU"/>
              </w:rPr>
            </w:pPr>
          </w:p>
        </w:tc>
        <w:tc>
          <w:tcPr>
            <w:tcW w:w="1109" w:type="dxa"/>
          </w:tcPr>
          <w:p w:rsidR="003F1FBC" w:rsidRPr="00904086" w:rsidRDefault="003F1FBC" w:rsidP="00904086">
            <w:pPr>
              <w:spacing w:after="0" w:line="240" w:lineRule="auto"/>
              <w:rPr>
                <w:rFonts w:ascii="Times New Roman" w:hAnsi="Times New Roman"/>
                <w:sz w:val="20"/>
                <w:szCs w:val="20"/>
                <w:lang w:eastAsia="ru-RU"/>
              </w:rPr>
            </w:pPr>
          </w:p>
        </w:tc>
        <w:tc>
          <w:tcPr>
            <w:tcW w:w="92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Муниципальное образование</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Население, чел.</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км(2)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Плотность расселения, чел./км(2)</w:t>
            </w:r>
          </w:p>
        </w:tc>
        <w:tc>
          <w:tcPr>
            <w:tcW w:w="3881"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Категории зонирования по плотности расселения</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от 300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от 30</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20 - 30</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индекс до 20</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Ардатовский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26168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1192,5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26168 / 1192,5 = 21,9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240" w:lineRule="auto"/>
              <w:rPr>
                <w:rFonts w:ascii="Times New Roman" w:hAnsi="Times New Roman"/>
                <w:color w:val="2D2D2D"/>
                <w:sz w:val="21"/>
                <w:szCs w:val="21"/>
                <w:highlight w:val="yellow"/>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240" w:lineRule="auto"/>
              <w:rPr>
                <w:rFonts w:ascii="Times New Roman" w:hAnsi="Times New Roman"/>
                <w:sz w:val="20"/>
                <w:szCs w:val="20"/>
                <w:highlight w:val="yellow"/>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315" w:lineRule="atLeast"/>
              <w:jc w:val="center"/>
              <w:textAlignment w:val="baseline"/>
              <w:rPr>
                <w:rFonts w:ascii="Times New Roman" w:hAnsi="Times New Roman"/>
                <w:color w:val="2D2D2D"/>
                <w:sz w:val="21"/>
                <w:szCs w:val="21"/>
                <w:highlight w:val="yellow"/>
                <w:lang w:eastAsia="ru-RU"/>
              </w:rPr>
            </w:pPr>
            <w:r w:rsidRPr="00E0036B">
              <w:rPr>
                <w:rFonts w:ascii="Times New Roman" w:hAnsi="Times New Roman"/>
                <w:color w:val="2D2D2D"/>
                <w:sz w:val="21"/>
                <w:szCs w:val="21"/>
                <w:highlight w:val="yellow"/>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E0036B" w:rsidRDefault="003F1FBC" w:rsidP="00904086">
            <w:pPr>
              <w:spacing w:after="0" w:line="240" w:lineRule="auto"/>
              <w:rPr>
                <w:rFonts w:ascii="Times New Roman" w:hAnsi="Times New Roman"/>
                <w:color w:val="2D2D2D"/>
                <w:sz w:val="21"/>
                <w:szCs w:val="21"/>
                <w:highlight w:val="yellow"/>
                <w:lang w:eastAsia="ru-RU"/>
              </w:rPr>
            </w:pPr>
            <w:bookmarkStart w:id="0" w:name="_GoBack"/>
            <w:bookmarkEnd w:id="0"/>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Атюрьевский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8674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826,1</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8674 / 826,1 = 10,5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Атяшевский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17872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1095,8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17872 / 1095,8 = 16,3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Большеигнатовский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7240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834,2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7240 / 834,2 = 8,7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Большеберезниковский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12831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957,7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12831 / 957,7 = 13,4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Дубенский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12190</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896,9</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12190 / 896,9 = 13,6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Ельниковский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10272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1056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10272 / 1056 = 9,7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Зубово-Полянский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55414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2710</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55414 / 2710 = 20,4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Инсарский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12844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968,6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12844 / 968,6 = 13,3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Ичалковский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18802</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1265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18802 / 1265 = 14,9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Кадошкинский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618,6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7084 / 618,6 = 11,5</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Ковылкинский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40193</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2015,7</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40193 / 2015,7 = 19,9</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Кочкуровский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10086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816,46</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10086 / 816,46 = 12,4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Краснослободский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23784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1379,4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23784 / 1379,4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Лямбирский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34336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852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34336 / 852 = 40,3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Ромодановский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19884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820,8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19884 / 820,8 = 24,2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Рузаевский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64676</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1089,5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64676 / 1089,5 = 59,4</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Старошайговский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12467</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1419,4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12467 / 1419,4 = 8,8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Темниковский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14684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1936,8</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14684 /1936,8 = 7,6</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Теньгушевский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10771</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845,94</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10771 / 845,94 = 12,7</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Торбеевский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19374</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1128,92</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19374 / 1128,92 = 17,2</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Чамзинский район</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30588</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1009,5</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30588 / 1009,5 = 30,3</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27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Городской округ г. Саранск</w:t>
            </w:r>
          </w:p>
        </w:tc>
        <w:tc>
          <w:tcPr>
            <w:tcW w:w="147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337219</w:t>
            </w:r>
          </w:p>
        </w:tc>
        <w:tc>
          <w:tcPr>
            <w:tcW w:w="12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383,3</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337219 / 383,3 = 879,8</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w:t>
            </w: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11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92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Таблица 2.1(б). Обоснование расчетных показателей для объектов регионального значения</w:t>
      </w:r>
    </w:p>
    <w:tbl>
      <w:tblPr>
        <w:tblW w:w="0" w:type="auto"/>
        <w:tblCellMar>
          <w:left w:w="0" w:type="dxa"/>
          <w:right w:w="0" w:type="dxa"/>
        </w:tblCellMar>
        <w:tblLook w:val="00A0"/>
      </w:tblPr>
      <w:tblGrid>
        <w:gridCol w:w="728"/>
        <w:gridCol w:w="2939"/>
        <w:gridCol w:w="2018"/>
        <w:gridCol w:w="4236"/>
      </w:tblGrid>
      <w:tr w:rsidR="003F1FBC" w:rsidRPr="00E0317E" w:rsidTr="00904086">
        <w:trPr>
          <w:trHeight w:val="15"/>
        </w:trPr>
        <w:tc>
          <w:tcPr>
            <w:tcW w:w="739"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511" w:type="dxa"/>
          </w:tcPr>
          <w:p w:rsidR="003F1FBC" w:rsidRPr="00904086" w:rsidRDefault="003F1FBC" w:rsidP="00904086">
            <w:pPr>
              <w:spacing w:after="0" w:line="240" w:lineRule="auto"/>
              <w:rPr>
                <w:rFonts w:ascii="Times New Roman" w:hAnsi="Times New Roman"/>
                <w:sz w:val="20"/>
                <w:szCs w:val="20"/>
                <w:lang w:eastAsia="ru-RU"/>
              </w:rPr>
            </w:pPr>
          </w:p>
        </w:tc>
        <w:tc>
          <w:tcPr>
            <w:tcW w:w="2218" w:type="dxa"/>
          </w:tcPr>
          <w:p w:rsidR="003F1FBC" w:rsidRPr="00904086" w:rsidRDefault="003F1FBC" w:rsidP="00904086">
            <w:pPr>
              <w:spacing w:after="0" w:line="240" w:lineRule="auto"/>
              <w:rPr>
                <w:rFonts w:ascii="Times New Roman" w:hAnsi="Times New Roman"/>
                <w:sz w:val="20"/>
                <w:szCs w:val="20"/>
                <w:lang w:eastAsia="ru-RU"/>
              </w:rPr>
            </w:pPr>
          </w:p>
        </w:tc>
        <w:tc>
          <w:tcPr>
            <w:tcW w:w="5729"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Расчетный показатель</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расчетного показателя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12197"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Региональные объекты</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транспорта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регионального или межмуниципального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(км/1 м(2) территории)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 в связи с чем для показателя введено зонирование территории по плотности расселения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Автовокзалы регионального значения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olor w:val="2D2D2D"/>
                <w:sz w:val="21"/>
                <w:szCs w:val="21"/>
                <w:lang w:eastAsia="ru-RU"/>
              </w:rPr>
              <w:br/>
              <w:t>при суточном отправлении от 4000 до 6000 пассажиров, норма вместимости установлена 250 человек;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(4000 + 6000) / 2 = 5000; вместимость автовокзала: (5000 / 100) x 4 = 200 человек;</w:t>
            </w:r>
            <w:r w:rsidRPr="00904086">
              <w:rPr>
                <w:rFonts w:ascii="Times New Roman" w:hAnsi="Times New Roman"/>
                <w:color w:val="2D2D2D"/>
                <w:sz w:val="21"/>
                <w:szCs w:val="21"/>
                <w:lang w:eastAsia="ru-RU"/>
              </w:rPr>
              <w:br/>
              <w:t>при суточном отправлении от 6000 до 8000 пассажиров: (6000 + 8000) / 2 = 7000; (7000 / 100) x 4 x 0,75 (поправочный коэффициент) = 70 x 4 x 0,75 = 210 человек;</w:t>
            </w:r>
            <w:r w:rsidRPr="00904086">
              <w:rPr>
                <w:rFonts w:ascii="Times New Roman" w:hAnsi="Times New Roman"/>
                <w:color w:val="2D2D2D"/>
                <w:sz w:val="21"/>
                <w:szCs w:val="21"/>
                <w:lang w:eastAsia="ru-RU"/>
              </w:rPr>
              <w:br/>
              <w:t>при суточном отправлении от 8000 до 10000 пассажиров: (8000 + 10000) / 2 = 9000; (9000 / 100) x 4 x 0,75(2) (поправочный коэффициент) = 90 x 4 x 0,5625 = 202 человек</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Автостанции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при суточном отправлении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РД 3107938-0181-94. Автовокзалы и пассажирские автостанции;</w:t>
            </w:r>
            <w:r w:rsidRPr="00904086">
              <w:rPr>
                <w:rFonts w:ascii="Times New Roman" w:hAnsi="Times New Roman"/>
                <w:color w:val="2D2D2D"/>
                <w:sz w:val="21"/>
                <w:szCs w:val="21"/>
                <w:lang w:eastAsia="ru-RU"/>
              </w:rPr>
              <w:br/>
              <w:t>при суточном отправлении от 100 до 200 пассажиров, норма вместимости установлена 10 человек;</w:t>
            </w:r>
            <w:r w:rsidRPr="00904086">
              <w:rPr>
                <w:rFonts w:ascii="Times New Roman" w:hAnsi="Times New Roman"/>
                <w:color w:val="2D2D2D"/>
                <w:sz w:val="21"/>
                <w:szCs w:val="21"/>
                <w:lang w:eastAsia="ru-RU"/>
              </w:rPr>
              <w:b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x 6,5 = 10 человек;</w:t>
            </w:r>
            <w:r w:rsidRPr="00904086">
              <w:rPr>
                <w:rFonts w:ascii="Times New Roman" w:hAnsi="Times New Roman"/>
                <w:color w:val="2D2D2D"/>
                <w:sz w:val="21"/>
                <w:szCs w:val="21"/>
                <w:lang w:eastAsia="ru-RU"/>
              </w:rPr>
              <w:br/>
              <w:t>при суточном отправлении от 200 до 400 пассажиров: (200 + 400) / 2 = 300; (300 / 100) x 6,5 x 1,25 (поправочный коэффициент) = 25 человек;</w:t>
            </w:r>
            <w:r w:rsidRPr="00904086">
              <w:rPr>
                <w:rFonts w:ascii="Times New Roman" w:hAnsi="Times New Roman"/>
                <w:color w:val="2D2D2D"/>
                <w:sz w:val="21"/>
                <w:szCs w:val="21"/>
                <w:lang w:eastAsia="ru-RU"/>
              </w:rPr>
              <w:br/>
              <w:t>при суточном отправлении от 400 до 600 пассажиров: (400 + 600) / 2 = 500; (500 / 100) x 6,5 x 1,25 (поправочный коэффициент) = 40 человек;</w:t>
            </w:r>
            <w:r w:rsidRPr="00904086">
              <w:rPr>
                <w:rFonts w:ascii="Times New Roman" w:hAnsi="Times New Roman"/>
                <w:color w:val="2D2D2D"/>
                <w:sz w:val="21"/>
                <w:szCs w:val="21"/>
                <w:lang w:eastAsia="ru-RU"/>
              </w:rPr>
              <w:br/>
              <w:t>при суточном отправлении от 600 до 1000 пассажиров: (600 + 1000) / 2 = 800; (800 / 100) x 6,5 x 1,25 (поправочный коэффициент) = 65 человек</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Пассажирские автотранспортные предприятия (ПАТП)</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единиц общественного автотранспорта, пассажиров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согласно </w:t>
            </w:r>
            <w:hyperlink r:id="rId91" w:history="1">
              <w:r w:rsidRPr="00904086">
                <w:rPr>
                  <w:rFonts w:ascii="Times New Roman" w:hAnsi="Times New Roman"/>
                  <w:color w:val="00466E"/>
                  <w:sz w:val="21"/>
                  <w:szCs w:val="21"/>
                  <w:u w:val="single"/>
                  <w:lang w:eastAsia="ru-RU"/>
                </w:rPr>
                <w:t>постановлению Правительства РФ от 14 февраля 2009 г. N 112 "Об утверждении Правил перевозок пассажиров и багажа автомобильным транспортом и городским наземным электрическим транспортом"</w:t>
              </w:r>
            </w:hyperlink>
            <w:r w:rsidRPr="00904086">
              <w:rPr>
                <w:rFonts w:ascii="Times New Roman" w:hAnsi="Times New Roman"/>
                <w:color w:val="2D2D2D"/>
                <w:sz w:val="21"/>
                <w:szCs w:val="21"/>
                <w:lang w:eastAsia="ru-RU"/>
              </w:rPr>
              <w:t>;</w:t>
            </w:r>
            <w:r w:rsidRPr="00904086">
              <w:rPr>
                <w:rFonts w:ascii="Times New Roman" w:hAnsi="Times New Roman"/>
                <w:color w:val="2D2D2D"/>
                <w:sz w:val="21"/>
                <w:szCs w:val="21"/>
                <w:lang w:eastAsia="ru-RU"/>
              </w:rPr>
              <w:b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единиц общественного автотранспорта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r w:rsidRPr="00904086">
              <w:rPr>
                <w:rFonts w:ascii="Times New Roman" w:hAnsi="Times New Roman"/>
                <w:color w:val="2D2D2D"/>
                <w:sz w:val="21"/>
                <w:szCs w:val="21"/>
                <w:lang w:eastAsia="ru-RU"/>
              </w:rPr>
              <w:b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1000 человек в Республике Мордовия составляет: ((807453 / 36) /807453) x 1000 = (22429 / 807453) x 1000 = 28 транспортных средств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образования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Коррекционные школы, школы-интернаты, в т.ч. для обучающихся, нуждающихся в длительном лечении, для детей-сирот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w:t>
            </w:r>
            <w:r w:rsidRPr="00904086">
              <w:rPr>
                <w:rFonts w:ascii="Times New Roman" w:hAnsi="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1 - 15 лет на 1 января 2016 г. составила: 114549 человек;</w:t>
            </w:r>
            <w:r w:rsidRPr="00904086">
              <w:rPr>
                <w:rFonts w:ascii="Times New Roman" w:hAnsi="Times New Roman"/>
                <w:color w:val="2D2D2D"/>
                <w:sz w:val="21"/>
                <w:szCs w:val="21"/>
                <w:lang w:eastAsia="ru-RU"/>
              </w:rPr>
              <w:br/>
              <w:t>20% требуют специальных условий обучения: 114549 x 0,2 = 22910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(интернатов, коррекционных школ) - 11;</w:t>
            </w:r>
            <w:r w:rsidRPr="00904086">
              <w:rPr>
                <w:rFonts w:ascii="Times New Roman" w:hAnsi="Times New Roman"/>
                <w:color w:val="2D2D2D"/>
                <w:sz w:val="21"/>
                <w:szCs w:val="21"/>
                <w:lang w:eastAsia="ru-RU"/>
              </w:rPr>
              <w:br/>
              <w:t>требуемое количество мест: (22910 / 807453) x 000 x 0,93 = 26,4 мест</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Общеобразовательные организации (лицеи, гимназии, школы)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86771 человек;</w:t>
            </w:r>
            <w:r w:rsidRPr="00904086">
              <w:rPr>
                <w:rFonts w:ascii="Times New Roman" w:hAnsi="Times New Roman"/>
                <w:color w:val="2D2D2D"/>
                <w:sz w:val="21"/>
                <w:szCs w:val="21"/>
                <w:lang w:eastAsia="ru-RU"/>
              </w:rPr>
              <w:br/>
              <w:t>текущая обеспеченность местами в организациях такого типа: (86771 / 807453) x 1000 x 0,93 = 100 мест;</w:t>
            </w:r>
            <w:r w:rsidRPr="00904086">
              <w:rPr>
                <w:rFonts w:ascii="Times New Roman" w:hAnsi="Times New Roman"/>
                <w:color w:val="2D2D2D"/>
                <w:sz w:val="21"/>
                <w:szCs w:val="21"/>
                <w:lang w:eastAsia="ru-RU"/>
              </w:rPr>
              <w:br/>
              <w:t>зоны высокой плотности расселения (2) - 99,7 / 2 = 49,85;</w:t>
            </w:r>
            <w:r w:rsidRPr="00904086">
              <w:rPr>
                <w:rFonts w:ascii="Times New Roman" w:hAnsi="Times New Roman"/>
                <w:color w:val="2D2D2D"/>
                <w:sz w:val="21"/>
                <w:szCs w:val="21"/>
                <w:lang w:eastAsia="ru-RU"/>
              </w:rPr>
              <w:br/>
              <w:t>зоны средней плотности расселения (3) - 25,22 (100% = 100 мест);</w:t>
            </w:r>
            <w:r w:rsidRPr="00904086">
              <w:rPr>
                <w:rFonts w:ascii="Times New Roman" w:hAnsi="Times New Roman"/>
                <w:color w:val="2D2D2D"/>
                <w:sz w:val="21"/>
                <w:szCs w:val="21"/>
                <w:lang w:eastAsia="ru-RU"/>
              </w:rPr>
              <w:br/>
              <w:t>зона низкой плотности расселения (4) - 208 / 15 = 13,8,</w:t>
            </w:r>
            <w:r w:rsidRPr="00904086">
              <w:rPr>
                <w:rFonts w:ascii="Times New Roman" w:hAnsi="Times New Roman"/>
                <w:color w:val="2D2D2D"/>
                <w:sz w:val="21"/>
                <w:szCs w:val="21"/>
                <w:lang w:eastAsia="ru-RU"/>
              </w:rPr>
              <w:br/>
              <w:t>K = 49,85 / 13,8 = 3,61,</w:t>
            </w:r>
            <w:r w:rsidRPr="00904086">
              <w:rPr>
                <w:rFonts w:ascii="Times New Roman" w:hAnsi="Times New Roman"/>
                <w:color w:val="2D2D2D"/>
                <w:sz w:val="21"/>
                <w:szCs w:val="21"/>
                <w:lang w:eastAsia="ru-RU"/>
              </w:rPr>
              <w:br/>
              <w:t>Х2 = 100 x 1,9 = 190 мест,</w:t>
            </w:r>
            <w:r w:rsidRPr="00904086">
              <w:rPr>
                <w:rFonts w:ascii="Times New Roman" w:hAnsi="Times New Roman"/>
                <w:color w:val="2D2D2D"/>
                <w:sz w:val="21"/>
                <w:szCs w:val="21"/>
                <w:lang w:eastAsia="ru-RU"/>
              </w:rPr>
              <w:br/>
              <w:t>Х3 = 100 мест,</w:t>
            </w:r>
            <w:r w:rsidRPr="00904086">
              <w:rPr>
                <w:rFonts w:ascii="Times New Roman" w:hAnsi="Times New Roman"/>
                <w:color w:val="2D2D2D"/>
                <w:sz w:val="21"/>
                <w:szCs w:val="21"/>
                <w:lang w:eastAsia="ru-RU"/>
              </w:rPr>
              <w:br/>
              <w:t>Х4 = 100 x 0,5 = 50 мест;</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 Республике имеется одна общеобразовательная организация регионального значения (Государственное бюджетное нетиповое общеобразовательное учреждение Республики Мордовия "Республиканский лицей для одаренных детей") общей вместимостью 534 места;</w:t>
            </w:r>
            <w:r w:rsidRPr="00904086">
              <w:rPr>
                <w:rFonts w:ascii="Times New Roman" w:hAnsi="Times New Roman"/>
                <w:color w:val="2D2D2D"/>
                <w:sz w:val="21"/>
                <w:szCs w:val="21"/>
                <w:lang w:eastAsia="ru-RU"/>
              </w:rPr>
              <w:br/>
              <w:t>Х1(городской округ Саранск) = 534 - (190 + 100 + 50) = 194 места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 при использовании зонирования Республики Мордовия по плотности расселения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Средние специальные и профессионально-технические учебные заведения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- 433000 человек, 25% требуют повышения квалификации и дополнительной профессиональной подготовки: 433000 x 0,25 = 108250 человек. Расчетная численность населения, требующего получения профессионального образования - 49039 человек, 25% получают параллельно дополнительное образование (возраст 16 - 59 лет): 49039 x 0,25 = 12259. Итого расчетная численность населения, требующего получения дополнительного образования (возраст 16 - 30): 108250 + 12259 = 120509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x 1 = 25. Итого: 73 + 1 = 26 учреждений;</w:t>
            </w:r>
            <w:r w:rsidRPr="00904086">
              <w:rPr>
                <w:rFonts w:ascii="Times New Roman" w:hAnsi="Times New Roman"/>
                <w:color w:val="2D2D2D"/>
                <w:sz w:val="21"/>
                <w:szCs w:val="21"/>
                <w:lang w:eastAsia="ru-RU"/>
              </w:rPr>
              <w:b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807453) x 1000 x 0,93 = 132,7 мест</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здравоохранения и социального обеспечения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Республиканская больница общего типа, в т.ч. детская, госпиталь и т.д.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807453 человек. 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r w:rsidRPr="00904086">
              <w:rPr>
                <w:rFonts w:ascii="Times New Roman" w:hAnsi="Times New Roman"/>
                <w:color w:val="2D2D2D"/>
                <w:sz w:val="21"/>
                <w:szCs w:val="21"/>
                <w:lang w:eastAsia="ru-RU"/>
              </w:rPr>
              <w:br/>
              <w:t>расчетное требуемое количество койко-мест на 1 000 человек составляет: (2228 / (807453 x 0,93 &lt;*&gt;)) x 1000 = (2228 / 750931,29) x 1000 = 2,97 мест;</w:t>
            </w:r>
            <w:r w:rsidRPr="00904086">
              <w:rPr>
                <w:rFonts w:ascii="Times New Roman" w:hAnsi="Times New Roman"/>
                <w:color w:val="2D2D2D"/>
                <w:sz w:val="21"/>
                <w:szCs w:val="21"/>
                <w:lang w:eastAsia="ru-RU"/>
              </w:rPr>
              <w:br/>
              <w:t>&lt;*&gt; 0,93 - коэффициент прироста-убыли населения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(7 больниц общего типа: 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11 431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1805 x 0,75 x 1,38 (коэффициент увеличения инвестиционного потенциала) + 21,37 = 1889,55 посещений в смену (на все объекты регионального значения) 1,38 &lt;*&gt; - по результатам анализа прогнозов и стратегии социального-экономического развития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оказывающие специализированную медицинскую помощь и объекты, оказывающие специализированную медицинскую помощь в т.ч. высокотехнологичную: родильный дом, перинатальный центр, инфекционная больница, кожно-венерологические, психиатрические, наркологические, онкологические, противотуберкулезные, психоневрологические, диагностический центр и пр.</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мест в стационарах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Республики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1835 койко-мест;</w:t>
            </w:r>
            <w:r w:rsidRPr="00904086">
              <w:rPr>
                <w:rFonts w:ascii="Times New Roman" w:hAnsi="Times New Roman"/>
                <w:color w:val="2D2D2D"/>
                <w:sz w:val="21"/>
                <w:szCs w:val="21"/>
                <w:lang w:eastAsia="ru-RU"/>
              </w:rPr>
              <w:br/>
              <w:t>расчетное требуемое количество койко-мест на 1 000 человек составляет: (1835 / (807453 x 0,93 &lt;*&gt;)) x 1000 = (1835 / 750931,3) x 1000 = 2,44 мест</w:t>
            </w:r>
            <w:r w:rsidRPr="00904086">
              <w:rPr>
                <w:rFonts w:ascii="Times New Roman" w:hAnsi="Times New Roman"/>
                <w:color w:val="2D2D2D"/>
                <w:sz w:val="21"/>
                <w:szCs w:val="21"/>
                <w:lang w:eastAsia="ru-RU"/>
              </w:rPr>
              <w:br/>
              <w:t>&lt;*&gt; 0,93 - коэффициент прироста-убыли населения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Текущая обеспеченность населения: поликлиники при специализированных объектах рассчитаны в совокупности на 2040 посещений в смену;</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2040 x 0,75 x 1,38 &lt;*&gt; (коэффициент увеличения инвестиционного потенциала) + 21,37 = 2 132,77 посещений в смену (на все объекты регионального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перспектив развития системы учреждений здравоохранения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Станция переливания крови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текущего состояния и развития системы учреждений здравоохранения региона с учетом требований </w:t>
            </w:r>
            <w:hyperlink r:id="rId92"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3"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94"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Учреждения отдыха и оздоровления населения (санаторий)</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w:t>
            </w:r>
            <w:r w:rsidRPr="00904086">
              <w:rPr>
                <w:rFonts w:ascii="Times New Roman" w:hAnsi="Times New Roman"/>
                <w:color w:val="2D2D2D"/>
                <w:sz w:val="21"/>
                <w:szCs w:val="21"/>
                <w:lang w:eastAsia="ru-RU"/>
              </w:rPr>
              <w:br/>
              <w:t>текущая обеспеченность населения учреждениями отдыха и оздоровления детей: 1 объект (ГБУЗ РМ "Республиканский детский санаторий "Лесная сказка") - общей мощностью 120 коек и Ковылкинский детский санаторий "Сосновый бор" - общей мощностью: 150 коек. 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- 114549 детей;</w:t>
            </w:r>
            <w:r w:rsidRPr="00904086">
              <w:rPr>
                <w:rFonts w:ascii="Times New Roman" w:hAnsi="Times New Roman"/>
                <w:color w:val="2D2D2D"/>
                <w:sz w:val="21"/>
                <w:szCs w:val="21"/>
                <w:lang w:eastAsia="ru-RU"/>
              </w:rPr>
              <w:br/>
              <w:t>санатории круглогодичного действия, в год принимают 15 смен;</w:t>
            </w:r>
            <w:r w:rsidRPr="00904086">
              <w:rPr>
                <w:rFonts w:ascii="Times New Roman" w:hAnsi="Times New Roman"/>
                <w:color w:val="2D2D2D"/>
                <w:sz w:val="21"/>
                <w:szCs w:val="21"/>
                <w:lang w:eastAsia="ru-RU"/>
              </w:rPr>
              <w:br/>
              <w:t>обеспеченность региона составляет: (270 x 15 / 114549) x 1000 = 35,4 мест на 1000 детей;</w:t>
            </w:r>
            <w:r w:rsidRPr="00904086">
              <w:rPr>
                <w:rFonts w:ascii="Times New Roman" w:hAnsi="Times New Roman"/>
                <w:color w:val="2D2D2D"/>
                <w:sz w:val="21"/>
                <w:szCs w:val="21"/>
                <w:lang w:eastAsia="ru-RU"/>
              </w:rPr>
              <w:br/>
              <w:t>из 114549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 + 1933) = 4277;</w:t>
            </w:r>
            <w:r w:rsidRPr="00904086">
              <w:rPr>
                <w:rFonts w:ascii="Times New Roman" w:hAnsi="Times New Roman"/>
                <w:color w:val="2D2D2D"/>
                <w:sz w:val="21"/>
                <w:szCs w:val="21"/>
                <w:lang w:eastAsia="ru-RU"/>
              </w:rPr>
              <w:br/>
              <w:t>фактическое использование доступных мест в санаториях на 1000 детей:</w:t>
            </w:r>
            <w:r w:rsidRPr="00904086">
              <w:rPr>
                <w:rFonts w:ascii="Times New Roman" w:hAnsi="Times New Roman"/>
                <w:color w:val="2D2D2D"/>
                <w:sz w:val="21"/>
                <w:szCs w:val="21"/>
                <w:lang w:eastAsia="ru-RU"/>
              </w:rPr>
              <w:br/>
              <w:t>(4277 / 114549) x 1000 = 37,3 мест;</w:t>
            </w:r>
            <w:r w:rsidRPr="00904086">
              <w:rPr>
                <w:rFonts w:ascii="Times New Roman" w:hAnsi="Times New Roman"/>
                <w:color w:val="2D2D2D"/>
                <w:sz w:val="21"/>
                <w:szCs w:val="21"/>
                <w:lang w:eastAsia="ru-RU"/>
              </w:rPr>
              <w:br/>
              <w:t>с учетом коэффициента прироста-убыли населения нормативный показатель обеспеченности региона составляет:</w:t>
            </w:r>
            <w:r w:rsidRPr="00904086">
              <w:rPr>
                <w:rFonts w:ascii="Times New Roman" w:hAnsi="Times New Roman"/>
                <w:color w:val="2D2D2D"/>
                <w:sz w:val="21"/>
                <w:szCs w:val="21"/>
                <w:lang w:eastAsia="ru-RU"/>
              </w:rPr>
              <w:br/>
              <w:t>(270 x 15 / (114549 x 0,93)) x 1000 = 38 мест на 1000 детей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детских санаториев региона, демографических изменений,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учреждений особого типа (территориальный центр медицины катастроф, бюро судебно-медицинской экспертизы)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развития региона, с учетом требований </w:t>
            </w:r>
            <w:hyperlink r:id="rId95"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6"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97"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развития региона, с учетом требований СП 118.13330.2012. Общественные здания и сооружения.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3.6.</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Фельдшерско-акушерские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 на населенный пункт)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и перспектив развития системы учреждений здравоохранения региона с учетом СП 118.13330.2012. Общественные здания и сооружения;</w:t>
            </w:r>
            <w:r w:rsidRPr="00904086">
              <w:rPr>
                <w:rFonts w:ascii="Times New Roman" w:hAnsi="Times New Roman"/>
                <w:color w:val="2D2D2D"/>
                <w:sz w:val="21"/>
                <w:szCs w:val="21"/>
                <w:lang w:eastAsia="ru-RU"/>
              </w:rPr>
              <w:br/>
              <w:t>пункты 19.2 - 19.4. </w:t>
            </w:r>
            <w:hyperlink r:id="rId98" w:history="1">
              <w:r w:rsidRPr="00904086">
                <w:rPr>
                  <w:rFonts w:ascii="Times New Roman" w:hAnsi="Times New Roman"/>
                  <w:color w:val="00466E"/>
                  <w:sz w:val="21"/>
                  <w:szCs w:val="21"/>
                  <w:u w:val="single"/>
                  <w:lang w:eastAsia="ru-RU"/>
                </w:rPr>
                <w:t>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w:t>
              </w:r>
            </w:hyperlink>
            <w:r w:rsidRPr="00904086">
              <w:rPr>
                <w:rFonts w:ascii="Times New Roman" w:hAnsi="Times New Roman"/>
                <w:color w:val="2D2D2D"/>
                <w:sz w:val="21"/>
                <w:szCs w:val="21"/>
                <w:lang w:eastAsia="ru-RU"/>
              </w:rPr>
              <w:t> (с изменениями, внесенными приказами Министерства здравоохранения и социального развития Российской Федерации </w:t>
            </w:r>
            <w:hyperlink r:id="rId99" w:history="1">
              <w:r w:rsidRPr="00904086">
                <w:rPr>
                  <w:rFonts w:ascii="Times New Roman" w:hAnsi="Times New Roman"/>
                  <w:color w:val="00466E"/>
                  <w:sz w:val="21"/>
                  <w:szCs w:val="21"/>
                  <w:u w:val="single"/>
                  <w:lang w:eastAsia="ru-RU"/>
                </w:rPr>
                <w:t>от 23 июня 2015 г. N 361н</w:t>
              </w:r>
            </w:hyperlink>
            <w:r w:rsidRPr="00904086">
              <w:rPr>
                <w:rFonts w:ascii="Times New Roman" w:hAnsi="Times New Roman"/>
                <w:color w:val="2D2D2D"/>
                <w:sz w:val="21"/>
                <w:szCs w:val="21"/>
                <w:lang w:eastAsia="ru-RU"/>
              </w:rPr>
              <w:t>, </w:t>
            </w:r>
            <w:hyperlink r:id="rId100" w:history="1">
              <w:r w:rsidRPr="00904086">
                <w:rPr>
                  <w:rFonts w:ascii="Times New Roman" w:hAnsi="Times New Roman"/>
                  <w:color w:val="00466E"/>
                  <w:sz w:val="21"/>
                  <w:szCs w:val="21"/>
                  <w:u w:val="single"/>
                  <w:lang w:eastAsia="ru-RU"/>
                </w:rPr>
                <w:t>от 30 сентября 2015 г. N 683н</w:t>
              </w:r>
            </w:hyperlink>
            <w:r w:rsidRPr="00904086">
              <w:rPr>
                <w:rFonts w:ascii="Times New Roman" w:hAnsi="Times New Roman"/>
                <w:color w:val="2D2D2D"/>
                <w:sz w:val="21"/>
                <w:szCs w:val="21"/>
                <w:lang w:eastAsia="ru-RU"/>
              </w:rPr>
              <w:t>)</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СанПиН 2.1.3.2630-10 "Санитарно-эпидемиологические требования к организациям, осуществляющим медицинскую деятельность"</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3.7.</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Региональная фармацевтическая сеть</w:t>
            </w:r>
            <w:r w:rsidRPr="00904086">
              <w:rPr>
                <w:rFonts w:ascii="Times New Roman" w:hAnsi="Times New Roman"/>
                <w:color w:val="2D2D2D"/>
                <w:sz w:val="21"/>
                <w:szCs w:val="21"/>
                <w:lang w:eastAsia="ru-RU"/>
              </w:rPr>
              <w:br/>
              <w:t>- аптеки</w:t>
            </w:r>
            <w:r w:rsidRPr="00904086">
              <w:rPr>
                <w:rFonts w:ascii="Times New Roman" w:hAnsi="Times New Roman"/>
                <w:color w:val="2D2D2D"/>
                <w:sz w:val="21"/>
                <w:szCs w:val="21"/>
                <w:lang w:eastAsia="ru-RU"/>
              </w:rPr>
              <w:br/>
              <w:t>- аптечные пункты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w:t>
            </w:r>
            <w:r w:rsidRPr="00904086">
              <w:rPr>
                <w:rFonts w:ascii="Times New Roman" w:hAnsi="Times New Roman"/>
                <w:color w:val="2D2D2D"/>
                <w:sz w:val="21"/>
                <w:szCs w:val="21"/>
                <w:lang w:eastAsia="ru-RU"/>
              </w:rPr>
              <w:br/>
              <w:t>на 100000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r w:rsidRPr="00904086">
              <w:rPr>
                <w:rFonts w:ascii="Times New Roman" w:hAnsi="Times New Roman"/>
                <w:color w:val="2D2D2D"/>
                <w:sz w:val="21"/>
                <w:szCs w:val="21"/>
                <w:lang w:eastAsia="ru-RU"/>
              </w:rPr>
              <w:br/>
              <w:t>по состоянию на 1 июля 2016 г. на территории региона размещены 72 аптеки (ГУП РМ "Фармация") и аптечных пунктов:</w:t>
            </w:r>
            <w:r w:rsidRPr="00904086">
              <w:rPr>
                <w:rFonts w:ascii="Times New Roman" w:hAnsi="Times New Roman"/>
                <w:color w:val="2D2D2D"/>
                <w:sz w:val="21"/>
                <w:szCs w:val="21"/>
                <w:lang w:eastAsia="ru-RU"/>
              </w:rPr>
              <w:br/>
              <w:t>- 41 аптека</w:t>
            </w:r>
            <w:r w:rsidRPr="00904086">
              <w:rPr>
                <w:rFonts w:ascii="Times New Roman" w:hAnsi="Times New Roman"/>
                <w:color w:val="2D2D2D"/>
                <w:sz w:val="21"/>
                <w:szCs w:val="21"/>
                <w:lang w:eastAsia="ru-RU"/>
              </w:rPr>
              <w:br/>
              <w:t>- 30 аптечных пунктов,</w:t>
            </w:r>
            <w:r w:rsidRPr="00904086">
              <w:rPr>
                <w:rFonts w:ascii="Times New Roman" w:hAnsi="Times New Roman"/>
                <w:color w:val="2D2D2D"/>
                <w:sz w:val="21"/>
                <w:szCs w:val="21"/>
                <w:lang w:eastAsia="ru-RU"/>
              </w:rPr>
              <w:br/>
              <w:t>- 1 аптечный магазин,</w:t>
            </w:r>
            <w:r w:rsidRPr="00904086">
              <w:rPr>
                <w:rFonts w:ascii="Times New Roman" w:hAnsi="Times New Roman"/>
                <w:color w:val="2D2D2D"/>
                <w:sz w:val="21"/>
                <w:szCs w:val="21"/>
                <w:lang w:eastAsia="ru-RU"/>
              </w:rPr>
              <w:br/>
              <w:t>- 1 магазин оптики;</w:t>
            </w:r>
            <w:r w:rsidRPr="00904086">
              <w:rPr>
                <w:rFonts w:ascii="Times New Roman" w:hAnsi="Times New Roman"/>
                <w:color w:val="2D2D2D"/>
                <w:sz w:val="21"/>
                <w:szCs w:val="21"/>
                <w:lang w:eastAsia="ru-RU"/>
              </w:rPr>
              <w:br/>
              <w:t>доля объектов региональной сети при этом составляет 10%. Текущее количество объектов региональной фармацевтической сети на</w:t>
            </w:r>
            <w:r w:rsidRPr="00904086">
              <w:rPr>
                <w:rFonts w:ascii="Times New Roman" w:hAnsi="Times New Roman"/>
                <w:color w:val="2D2D2D"/>
                <w:sz w:val="21"/>
                <w:szCs w:val="21"/>
                <w:lang w:eastAsia="ru-RU"/>
              </w:rPr>
              <w:br/>
              <w:t>100000 человек составляет: (7,2 / 807453) x 100000 = 0,9 объекта;</w:t>
            </w:r>
            <w:r w:rsidRPr="00904086">
              <w:rPr>
                <w:rFonts w:ascii="Times New Roman" w:hAnsi="Times New Roman"/>
                <w:color w:val="2D2D2D"/>
                <w:sz w:val="21"/>
                <w:szCs w:val="21"/>
                <w:lang w:eastAsia="ru-RU"/>
              </w:rPr>
              <w:b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100000 человек: (72 x 0,4) / (807453 x 0,93 &lt;*&gt;)) x 100000 = (28,8 / 750931,3) x 100000 = 3,8 (4 объекта), из которых 2 - аптеки и 2 - аптечных пункта</w:t>
            </w:r>
            <w:r w:rsidRPr="00904086">
              <w:rPr>
                <w:rFonts w:ascii="Times New Roman" w:hAnsi="Times New Roman"/>
                <w:color w:val="2D2D2D"/>
                <w:sz w:val="21"/>
                <w:szCs w:val="21"/>
                <w:lang w:eastAsia="ru-RU"/>
              </w:rPr>
              <w:br/>
              <w:t>&lt;*&gt; 0,93 - коэффициент прироста-убыли населения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СП 118.13330.2012. Общественные здания и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3.8.</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текущая обеспеченность населения: поликлиниками (Поликлиника N 2, Поликлиника N 8, Поликлиника N 10, Поликлиника N 14, Поликлиника N 15, Детская поликлиника N 1, Детская поликлиника N 2, Детская поликлиника N 3, Детская поликлиника N 4) рассчитаны в совокупности на 3894 посещений в смену;</w:t>
            </w:r>
            <w:r w:rsidRPr="00904086">
              <w:rPr>
                <w:rFonts w:ascii="Times New Roman" w:hAnsi="Times New Roman"/>
                <w:color w:val="2D2D2D"/>
                <w:sz w:val="21"/>
                <w:szCs w:val="21"/>
                <w:lang w:eastAsia="ru-RU"/>
              </w:rPr>
              <w:br/>
              <w:t>по данным Росстата количество человек, проживающих на территории г.о. Саранск на 1 января 2016 г. составило 337219;</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количество посещений в смену в поликлиниках:</w:t>
            </w:r>
            <w:r w:rsidRPr="00904086">
              <w:rPr>
                <w:rFonts w:ascii="Times New Roman" w:hAnsi="Times New Roman"/>
                <w:color w:val="2D2D2D"/>
                <w:sz w:val="21"/>
                <w:szCs w:val="21"/>
                <w:lang w:eastAsia="ru-RU"/>
              </w:rPr>
              <w:br/>
              <w:t>3894 x 0,75 x 1,38 (коэффициент увеличения инвестиционного потенциала) + 21,37 = 4 051,66 посещений в смену (на все объекты регионального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3.9.</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Стоматологические поликлиники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(Республиканская стоматологическая поликлиника (в т.ч. обслуживающая жителей районов Республики Мордовия), Стоматологическая поликлиника N 1, Детская стоматологическая поликлиника), рассчитанная на 775 посещений в смену;</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расчетное количество посещений в смену в поликлиниках:</w:t>
            </w:r>
            <w:r w:rsidRPr="00904086">
              <w:rPr>
                <w:rFonts w:ascii="Times New Roman" w:hAnsi="Times New Roman"/>
                <w:color w:val="2D2D2D"/>
                <w:sz w:val="21"/>
                <w:szCs w:val="21"/>
                <w:lang w:eastAsia="ru-RU"/>
              </w:rPr>
              <w:br/>
              <w:t>775 x 0,75 x 1,38 &lt;*&gt; (коэффициент увеличения инвестиционного потенциала) = 802,13 посещений в смену</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3.10.</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Аэродромы и отдельные взлетно-посадочные полосы и площадки санитарной авиации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hyperlink r:id="rId101" w:history="1">
              <w:r w:rsidRPr="00904086">
                <w:rPr>
                  <w:rFonts w:ascii="Times New Roman" w:hAnsi="Times New Roman"/>
                  <w:color w:val="00466E"/>
                  <w:sz w:val="21"/>
                  <w:szCs w:val="21"/>
                  <w:u w:val="single"/>
                  <w:lang w:eastAsia="ru-RU"/>
                </w:rPr>
                <w:t>Федеральный закон от 21 ноября 2011 г. N 323-ФЗ "Об основах охраны здоровья граждан в Российской Федерации"</w:t>
              </w:r>
            </w:hyperlink>
            <w:r w:rsidRPr="00904086">
              <w:rPr>
                <w:rFonts w:ascii="Times New Roman" w:hAnsi="Times New Roman"/>
                <w:color w:val="2D2D2D"/>
                <w:sz w:val="21"/>
                <w:szCs w:val="21"/>
                <w:lang w:eastAsia="ru-RU"/>
              </w:rPr>
              <w:t> (с изменениями, внесенными </w:t>
            </w:r>
            <w:hyperlink r:id="rId102" w:history="1">
              <w:r w:rsidRPr="00904086">
                <w:rPr>
                  <w:rFonts w:ascii="Times New Roman" w:hAnsi="Times New Roman"/>
                  <w:color w:val="00466E"/>
                  <w:sz w:val="21"/>
                  <w:szCs w:val="21"/>
                  <w:u w:val="single"/>
                  <w:lang w:eastAsia="ru-RU"/>
                </w:rPr>
                <w:t>федеральными законами от 25 июня 2012 г. N 89-ФЗ</w:t>
              </w:r>
            </w:hyperlink>
            <w:r w:rsidRPr="00904086">
              <w:rPr>
                <w:rFonts w:ascii="Times New Roman" w:hAnsi="Times New Roman"/>
                <w:color w:val="2D2D2D"/>
                <w:sz w:val="21"/>
                <w:szCs w:val="21"/>
                <w:lang w:eastAsia="ru-RU"/>
              </w:rPr>
              <w:t>, </w:t>
            </w:r>
            <w:hyperlink r:id="rId103" w:history="1">
              <w:r w:rsidRPr="00904086">
                <w:rPr>
                  <w:rFonts w:ascii="Times New Roman" w:hAnsi="Times New Roman"/>
                  <w:color w:val="00466E"/>
                  <w:sz w:val="21"/>
                  <w:szCs w:val="21"/>
                  <w:u w:val="single"/>
                  <w:lang w:eastAsia="ru-RU"/>
                </w:rPr>
                <w:t>от 25 июня 2012 г. N 93-ФЗ</w:t>
              </w:r>
            </w:hyperlink>
            <w:r w:rsidRPr="00904086">
              <w:rPr>
                <w:rFonts w:ascii="Times New Roman" w:hAnsi="Times New Roman"/>
                <w:color w:val="2D2D2D"/>
                <w:sz w:val="21"/>
                <w:szCs w:val="21"/>
                <w:lang w:eastAsia="ru-RU"/>
              </w:rPr>
              <w:t>, </w:t>
            </w:r>
            <w:hyperlink r:id="rId104" w:history="1">
              <w:r w:rsidRPr="00904086">
                <w:rPr>
                  <w:rFonts w:ascii="Times New Roman" w:hAnsi="Times New Roman"/>
                  <w:color w:val="00466E"/>
                  <w:sz w:val="21"/>
                  <w:szCs w:val="21"/>
                  <w:u w:val="single"/>
                  <w:lang w:eastAsia="ru-RU"/>
                </w:rPr>
                <w:t>от 2 июля 2013 г. N 167-ФЗ</w:t>
              </w:r>
            </w:hyperlink>
            <w:r w:rsidRPr="00904086">
              <w:rPr>
                <w:rFonts w:ascii="Times New Roman" w:hAnsi="Times New Roman"/>
                <w:color w:val="2D2D2D"/>
                <w:sz w:val="21"/>
                <w:szCs w:val="21"/>
                <w:lang w:eastAsia="ru-RU"/>
              </w:rPr>
              <w:t>, </w:t>
            </w:r>
            <w:hyperlink r:id="rId105" w:history="1">
              <w:r w:rsidRPr="00904086">
                <w:rPr>
                  <w:rFonts w:ascii="Times New Roman" w:hAnsi="Times New Roman"/>
                  <w:color w:val="00466E"/>
                  <w:sz w:val="21"/>
                  <w:szCs w:val="21"/>
                  <w:u w:val="single"/>
                  <w:lang w:eastAsia="ru-RU"/>
                </w:rPr>
                <w:t>от 2 июля 2013 г. N 185-ФЗ</w:t>
              </w:r>
            </w:hyperlink>
            <w:r w:rsidRPr="00904086">
              <w:rPr>
                <w:rFonts w:ascii="Times New Roman" w:hAnsi="Times New Roman"/>
                <w:color w:val="2D2D2D"/>
                <w:sz w:val="21"/>
                <w:szCs w:val="21"/>
                <w:lang w:eastAsia="ru-RU"/>
              </w:rPr>
              <w:t>, </w:t>
            </w:r>
            <w:hyperlink r:id="rId106" w:history="1">
              <w:r w:rsidRPr="00904086">
                <w:rPr>
                  <w:rFonts w:ascii="Times New Roman" w:hAnsi="Times New Roman"/>
                  <w:color w:val="00466E"/>
                  <w:sz w:val="21"/>
                  <w:szCs w:val="21"/>
                  <w:u w:val="single"/>
                  <w:lang w:eastAsia="ru-RU"/>
                </w:rPr>
                <w:t>от 23 июля 2013 г. N 205-ФЗ</w:t>
              </w:r>
            </w:hyperlink>
            <w:r w:rsidRPr="00904086">
              <w:rPr>
                <w:rFonts w:ascii="Times New Roman" w:hAnsi="Times New Roman"/>
                <w:color w:val="2D2D2D"/>
                <w:sz w:val="21"/>
                <w:szCs w:val="21"/>
                <w:lang w:eastAsia="ru-RU"/>
              </w:rPr>
              <w:t>, </w:t>
            </w:r>
            <w:hyperlink r:id="rId107" w:history="1">
              <w:r w:rsidRPr="00904086">
                <w:rPr>
                  <w:rFonts w:ascii="Times New Roman" w:hAnsi="Times New Roman"/>
                  <w:color w:val="00466E"/>
                  <w:sz w:val="21"/>
                  <w:szCs w:val="21"/>
                  <w:u w:val="single"/>
                  <w:lang w:eastAsia="ru-RU"/>
                </w:rPr>
                <w:t>от 27 сентября 2013 г. N 253-ФЗ</w:t>
              </w:r>
            </w:hyperlink>
            <w:r w:rsidRPr="00904086">
              <w:rPr>
                <w:rFonts w:ascii="Times New Roman" w:hAnsi="Times New Roman"/>
                <w:color w:val="2D2D2D"/>
                <w:sz w:val="21"/>
                <w:szCs w:val="21"/>
                <w:lang w:eastAsia="ru-RU"/>
              </w:rPr>
              <w:t>, </w:t>
            </w:r>
            <w:hyperlink r:id="rId108" w:history="1">
              <w:r w:rsidRPr="00904086">
                <w:rPr>
                  <w:rFonts w:ascii="Times New Roman" w:hAnsi="Times New Roman"/>
                  <w:color w:val="00466E"/>
                  <w:sz w:val="21"/>
                  <w:szCs w:val="21"/>
                  <w:u w:val="single"/>
                  <w:lang w:eastAsia="ru-RU"/>
                </w:rPr>
                <w:t>от 25 ноября 2013 г. N 317-ФЗ</w:t>
              </w:r>
            </w:hyperlink>
            <w:r w:rsidRPr="00904086">
              <w:rPr>
                <w:rFonts w:ascii="Times New Roman" w:hAnsi="Times New Roman"/>
                <w:color w:val="2D2D2D"/>
                <w:sz w:val="21"/>
                <w:szCs w:val="21"/>
                <w:lang w:eastAsia="ru-RU"/>
              </w:rPr>
              <w:t>, </w:t>
            </w:r>
            <w:hyperlink r:id="rId109" w:history="1">
              <w:r w:rsidRPr="00904086">
                <w:rPr>
                  <w:rFonts w:ascii="Times New Roman" w:hAnsi="Times New Roman"/>
                  <w:color w:val="00466E"/>
                  <w:sz w:val="21"/>
                  <w:szCs w:val="21"/>
                  <w:u w:val="single"/>
                  <w:lang w:eastAsia="ru-RU"/>
                </w:rPr>
                <w:t>от 28 декабря 2013 г. N 386-ФЗ</w:t>
              </w:r>
            </w:hyperlink>
            <w:r w:rsidRPr="00904086">
              <w:rPr>
                <w:rFonts w:ascii="Times New Roman" w:hAnsi="Times New Roman"/>
                <w:color w:val="2D2D2D"/>
                <w:sz w:val="21"/>
                <w:szCs w:val="21"/>
                <w:lang w:eastAsia="ru-RU"/>
              </w:rPr>
              <w:t>, </w:t>
            </w:r>
            <w:hyperlink r:id="rId110" w:history="1">
              <w:r w:rsidRPr="00904086">
                <w:rPr>
                  <w:rFonts w:ascii="Times New Roman" w:hAnsi="Times New Roman"/>
                  <w:color w:val="00466E"/>
                  <w:sz w:val="21"/>
                  <w:szCs w:val="21"/>
                  <w:u w:val="single"/>
                  <w:lang w:eastAsia="ru-RU"/>
                </w:rPr>
                <w:t>от 21 июля 2014 г. N 243-ФЗ</w:t>
              </w:r>
            </w:hyperlink>
            <w:r w:rsidRPr="00904086">
              <w:rPr>
                <w:rFonts w:ascii="Times New Roman" w:hAnsi="Times New Roman"/>
                <w:color w:val="2D2D2D"/>
                <w:sz w:val="21"/>
                <w:szCs w:val="21"/>
                <w:lang w:eastAsia="ru-RU"/>
              </w:rPr>
              <w:t>, </w:t>
            </w:r>
            <w:hyperlink r:id="rId111" w:history="1">
              <w:r w:rsidRPr="00904086">
                <w:rPr>
                  <w:rFonts w:ascii="Times New Roman" w:hAnsi="Times New Roman"/>
                  <w:color w:val="00466E"/>
                  <w:sz w:val="21"/>
                  <w:szCs w:val="21"/>
                  <w:u w:val="single"/>
                  <w:lang w:eastAsia="ru-RU"/>
                </w:rPr>
                <w:t>от 21 июля 2014 г. N 246-ФЗ</w:t>
              </w:r>
            </w:hyperlink>
            <w:r w:rsidRPr="00904086">
              <w:rPr>
                <w:rFonts w:ascii="Times New Roman" w:hAnsi="Times New Roman"/>
                <w:color w:val="2D2D2D"/>
                <w:sz w:val="21"/>
                <w:szCs w:val="21"/>
                <w:lang w:eastAsia="ru-RU"/>
              </w:rPr>
              <w:t>, </w:t>
            </w:r>
            <w:hyperlink r:id="rId112" w:history="1">
              <w:r w:rsidRPr="00904086">
                <w:rPr>
                  <w:rFonts w:ascii="Times New Roman" w:hAnsi="Times New Roman"/>
                  <w:color w:val="00466E"/>
                  <w:sz w:val="21"/>
                  <w:szCs w:val="21"/>
                  <w:u w:val="single"/>
                  <w:lang w:eastAsia="ru-RU"/>
                </w:rPr>
                <w:t>от 21 июля 2014 г. N 256-ФЗ</w:t>
              </w:r>
            </w:hyperlink>
            <w:r w:rsidRPr="00904086">
              <w:rPr>
                <w:rFonts w:ascii="Times New Roman" w:hAnsi="Times New Roman"/>
                <w:color w:val="2D2D2D"/>
                <w:sz w:val="21"/>
                <w:szCs w:val="21"/>
                <w:lang w:eastAsia="ru-RU"/>
              </w:rPr>
              <w:t>, </w:t>
            </w:r>
            <w:hyperlink r:id="rId113" w:history="1">
              <w:r w:rsidRPr="00904086">
                <w:rPr>
                  <w:rFonts w:ascii="Times New Roman" w:hAnsi="Times New Roman"/>
                  <w:color w:val="00466E"/>
                  <w:sz w:val="21"/>
                  <w:szCs w:val="21"/>
                  <w:u w:val="single"/>
                  <w:lang w:eastAsia="ru-RU"/>
                </w:rPr>
                <w:t>22 октября 2014 г. N 314-ФЗ</w:t>
              </w:r>
            </w:hyperlink>
            <w:r w:rsidRPr="00904086">
              <w:rPr>
                <w:rFonts w:ascii="Times New Roman" w:hAnsi="Times New Roman"/>
                <w:color w:val="2D2D2D"/>
                <w:sz w:val="21"/>
                <w:szCs w:val="21"/>
                <w:lang w:eastAsia="ru-RU"/>
              </w:rPr>
              <w:t>, </w:t>
            </w:r>
            <w:hyperlink r:id="rId114" w:history="1">
              <w:r w:rsidRPr="00904086">
                <w:rPr>
                  <w:rFonts w:ascii="Times New Roman" w:hAnsi="Times New Roman"/>
                  <w:color w:val="00466E"/>
                  <w:sz w:val="21"/>
                  <w:szCs w:val="21"/>
                  <w:u w:val="single"/>
                  <w:lang w:eastAsia="ru-RU"/>
                </w:rPr>
                <w:t>от 1 декабря 2014 г. N 418-ФЗ</w:t>
              </w:r>
            </w:hyperlink>
            <w:r w:rsidRPr="00904086">
              <w:rPr>
                <w:rFonts w:ascii="Times New Roman" w:hAnsi="Times New Roman"/>
                <w:color w:val="2D2D2D"/>
                <w:sz w:val="21"/>
                <w:szCs w:val="21"/>
                <w:lang w:eastAsia="ru-RU"/>
              </w:rPr>
              <w:t>, </w:t>
            </w:r>
            <w:hyperlink r:id="rId115" w:history="1">
              <w:r w:rsidRPr="00904086">
                <w:rPr>
                  <w:rFonts w:ascii="Times New Roman" w:hAnsi="Times New Roman"/>
                  <w:color w:val="00466E"/>
                  <w:sz w:val="21"/>
                  <w:szCs w:val="21"/>
                  <w:u w:val="single"/>
                  <w:lang w:eastAsia="ru-RU"/>
                </w:rPr>
                <w:t>от 1 декабря 2014 г. N 419-ФЗ</w:t>
              </w:r>
            </w:hyperlink>
            <w:r w:rsidRPr="00904086">
              <w:rPr>
                <w:rFonts w:ascii="Times New Roman" w:hAnsi="Times New Roman"/>
                <w:color w:val="2D2D2D"/>
                <w:sz w:val="21"/>
                <w:szCs w:val="21"/>
                <w:lang w:eastAsia="ru-RU"/>
              </w:rPr>
              <w:t>, </w:t>
            </w:r>
            <w:hyperlink r:id="rId116" w:history="1">
              <w:r w:rsidRPr="00904086">
                <w:rPr>
                  <w:rFonts w:ascii="Times New Roman" w:hAnsi="Times New Roman"/>
                  <w:color w:val="00466E"/>
                  <w:sz w:val="21"/>
                  <w:szCs w:val="21"/>
                  <w:u w:val="single"/>
                  <w:lang w:eastAsia="ru-RU"/>
                </w:rPr>
                <w:t>от 31 декабря 2014 г. N 519-ФЗ</w:t>
              </w:r>
            </w:hyperlink>
            <w:r w:rsidRPr="00904086">
              <w:rPr>
                <w:rFonts w:ascii="Times New Roman" w:hAnsi="Times New Roman"/>
                <w:color w:val="2D2D2D"/>
                <w:sz w:val="21"/>
                <w:szCs w:val="21"/>
                <w:lang w:eastAsia="ru-RU"/>
              </w:rPr>
              <w:t>, </w:t>
            </w:r>
            <w:hyperlink r:id="rId117" w:history="1">
              <w:r w:rsidRPr="00904086">
                <w:rPr>
                  <w:rFonts w:ascii="Times New Roman" w:hAnsi="Times New Roman"/>
                  <w:color w:val="00466E"/>
                  <w:sz w:val="21"/>
                  <w:szCs w:val="21"/>
                  <w:u w:val="single"/>
                  <w:lang w:eastAsia="ru-RU"/>
                </w:rPr>
                <w:t>от 31 декабря 2014 г. N 532-ФЗ</w:t>
              </w:r>
            </w:hyperlink>
            <w:r w:rsidRPr="00904086">
              <w:rPr>
                <w:rFonts w:ascii="Times New Roman" w:hAnsi="Times New Roman"/>
                <w:color w:val="2D2D2D"/>
                <w:sz w:val="21"/>
                <w:szCs w:val="21"/>
                <w:lang w:eastAsia="ru-RU"/>
              </w:rPr>
              <w:t>, </w:t>
            </w:r>
            <w:hyperlink r:id="rId118" w:history="1">
              <w:r w:rsidRPr="00904086">
                <w:rPr>
                  <w:rFonts w:ascii="Times New Roman" w:hAnsi="Times New Roman"/>
                  <w:color w:val="00466E"/>
                  <w:sz w:val="21"/>
                  <w:szCs w:val="21"/>
                  <w:u w:val="single"/>
                  <w:lang w:eastAsia="ru-RU"/>
                </w:rPr>
                <w:t>от 8 марта 2015 г. N 33-ФЗ</w:t>
              </w:r>
            </w:hyperlink>
            <w:r w:rsidRPr="00904086">
              <w:rPr>
                <w:rFonts w:ascii="Times New Roman" w:hAnsi="Times New Roman"/>
                <w:color w:val="2D2D2D"/>
                <w:sz w:val="21"/>
                <w:szCs w:val="21"/>
                <w:lang w:eastAsia="ru-RU"/>
              </w:rPr>
              <w:t>, </w:t>
            </w:r>
            <w:hyperlink r:id="rId119" w:history="1">
              <w:r w:rsidRPr="00904086">
                <w:rPr>
                  <w:rFonts w:ascii="Times New Roman" w:hAnsi="Times New Roman"/>
                  <w:color w:val="00466E"/>
                  <w:sz w:val="21"/>
                  <w:szCs w:val="21"/>
                  <w:u w:val="single"/>
                  <w:lang w:eastAsia="ru-RU"/>
                </w:rPr>
                <w:t>от 8 марта 2015 г. N 55-ФЗ</w:t>
              </w:r>
            </w:hyperlink>
            <w:r w:rsidRPr="00904086">
              <w:rPr>
                <w:rFonts w:ascii="Times New Roman" w:hAnsi="Times New Roman"/>
                <w:color w:val="2D2D2D"/>
                <w:sz w:val="21"/>
                <w:szCs w:val="21"/>
                <w:lang w:eastAsia="ru-RU"/>
              </w:rPr>
              <w:t>, </w:t>
            </w:r>
            <w:hyperlink r:id="rId120" w:history="1">
              <w:r w:rsidRPr="00904086">
                <w:rPr>
                  <w:rFonts w:ascii="Times New Roman" w:hAnsi="Times New Roman"/>
                  <w:color w:val="00466E"/>
                  <w:sz w:val="21"/>
                  <w:szCs w:val="21"/>
                  <w:u w:val="single"/>
                  <w:lang w:eastAsia="ru-RU"/>
                </w:rPr>
                <w:t>от 6 апреля 2015 г. N 78-ФЗ</w:t>
              </w:r>
            </w:hyperlink>
            <w:r w:rsidRPr="00904086">
              <w:rPr>
                <w:rFonts w:ascii="Times New Roman" w:hAnsi="Times New Roman"/>
                <w:color w:val="2D2D2D"/>
                <w:sz w:val="21"/>
                <w:szCs w:val="21"/>
                <w:lang w:eastAsia="ru-RU"/>
              </w:rPr>
              <w:t>, </w:t>
            </w:r>
            <w:hyperlink r:id="rId121" w:history="1">
              <w:r w:rsidRPr="00904086">
                <w:rPr>
                  <w:rFonts w:ascii="Times New Roman" w:hAnsi="Times New Roman"/>
                  <w:color w:val="00466E"/>
                  <w:sz w:val="21"/>
                  <w:szCs w:val="21"/>
                  <w:u w:val="single"/>
                  <w:lang w:eastAsia="ru-RU"/>
                </w:rPr>
                <w:t>от 29 июня 2015 г. N 160-ФЗ</w:t>
              </w:r>
            </w:hyperlink>
            <w:r w:rsidRPr="00904086">
              <w:rPr>
                <w:rFonts w:ascii="Times New Roman" w:hAnsi="Times New Roman"/>
                <w:color w:val="2D2D2D"/>
                <w:sz w:val="21"/>
                <w:szCs w:val="21"/>
                <w:lang w:eastAsia="ru-RU"/>
              </w:rPr>
              <w:t>, </w:t>
            </w:r>
            <w:hyperlink r:id="rId122" w:history="1">
              <w:r w:rsidRPr="00904086">
                <w:rPr>
                  <w:rFonts w:ascii="Times New Roman" w:hAnsi="Times New Roman"/>
                  <w:color w:val="00466E"/>
                  <w:sz w:val="21"/>
                  <w:szCs w:val="21"/>
                  <w:u w:val="single"/>
                  <w:lang w:eastAsia="ru-RU"/>
                </w:rPr>
                <w:t>от 13 июля 2015 г. N 213-ФЗ</w:t>
              </w:r>
            </w:hyperlink>
            <w:r w:rsidRPr="00904086">
              <w:rPr>
                <w:rFonts w:ascii="Times New Roman" w:hAnsi="Times New Roman"/>
                <w:color w:val="2D2D2D"/>
                <w:sz w:val="21"/>
                <w:szCs w:val="21"/>
                <w:lang w:eastAsia="ru-RU"/>
              </w:rPr>
              <w:t>, </w:t>
            </w:r>
            <w:hyperlink r:id="rId123" w:history="1">
              <w:r w:rsidRPr="00904086">
                <w:rPr>
                  <w:rFonts w:ascii="Times New Roman" w:hAnsi="Times New Roman"/>
                  <w:color w:val="00466E"/>
                  <w:sz w:val="21"/>
                  <w:szCs w:val="21"/>
                  <w:u w:val="single"/>
                  <w:lang w:eastAsia="ru-RU"/>
                </w:rPr>
                <w:t>от 13 июля 2015 г. N 230-ФЗ</w:t>
              </w:r>
            </w:hyperlink>
            <w:r w:rsidRPr="00904086">
              <w:rPr>
                <w:rFonts w:ascii="Times New Roman" w:hAnsi="Times New Roman"/>
                <w:color w:val="2D2D2D"/>
                <w:sz w:val="21"/>
                <w:szCs w:val="21"/>
                <w:lang w:eastAsia="ru-RU"/>
              </w:rPr>
              <w:t>, </w:t>
            </w:r>
            <w:hyperlink r:id="rId124" w:history="1">
              <w:r w:rsidRPr="00904086">
                <w:rPr>
                  <w:rFonts w:ascii="Times New Roman" w:hAnsi="Times New Roman"/>
                  <w:color w:val="00466E"/>
                  <w:sz w:val="21"/>
                  <w:szCs w:val="21"/>
                  <w:u w:val="single"/>
                  <w:lang w:eastAsia="ru-RU"/>
                </w:rPr>
                <w:t>от 13 июля 2015 г. N 233-ФЗ</w:t>
              </w:r>
            </w:hyperlink>
            <w:r w:rsidRPr="00904086">
              <w:rPr>
                <w:rFonts w:ascii="Times New Roman" w:hAnsi="Times New Roman"/>
                <w:color w:val="2D2D2D"/>
                <w:sz w:val="21"/>
                <w:szCs w:val="21"/>
                <w:lang w:eastAsia="ru-RU"/>
              </w:rPr>
              <w:t>, </w:t>
            </w:r>
            <w:hyperlink r:id="rId125" w:history="1">
              <w:r w:rsidRPr="00904086">
                <w:rPr>
                  <w:rFonts w:ascii="Times New Roman" w:hAnsi="Times New Roman"/>
                  <w:color w:val="00466E"/>
                  <w:sz w:val="21"/>
                  <w:szCs w:val="21"/>
                  <w:u w:val="single"/>
                  <w:lang w:eastAsia="ru-RU"/>
                </w:rPr>
                <w:t>от 13 июля 2015 г. N 271-ФЗ</w:t>
              </w:r>
            </w:hyperlink>
            <w:r w:rsidRPr="00904086">
              <w:rPr>
                <w:rFonts w:ascii="Times New Roman" w:hAnsi="Times New Roman"/>
                <w:color w:val="2D2D2D"/>
                <w:sz w:val="21"/>
                <w:szCs w:val="21"/>
                <w:lang w:eastAsia="ru-RU"/>
              </w:rPr>
              <w:t>, </w:t>
            </w:r>
            <w:hyperlink r:id="rId126" w:history="1">
              <w:r w:rsidRPr="00904086">
                <w:rPr>
                  <w:rFonts w:ascii="Times New Roman" w:hAnsi="Times New Roman"/>
                  <w:color w:val="00466E"/>
                  <w:sz w:val="21"/>
                  <w:szCs w:val="21"/>
                  <w:u w:val="single"/>
                  <w:lang w:eastAsia="ru-RU"/>
                </w:rPr>
                <w:t>от 14 декабря 2015 г. N 374-ФЗ</w:t>
              </w:r>
            </w:hyperlink>
            <w:r w:rsidRPr="00904086">
              <w:rPr>
                <w:rFonts w:ascii="Times New Roman" w:hAnsi="Times New Roman"/>
                <w:color w:val="2D2D2D"/>
                <w:sz w:val="21"/>
                <w:szCs w:val="21"/>
                <w:lang w:eastAsia="ru-RU"/>
              </w:rPr>
              <w:t>, </w:t>
            </w:r>
            <w:hyperlink r:id="rId127" w:history="1">
              <w:r w:rsidRPr="00904086">
                <w:rPr>
                  <w:rFonts w:ascii="Times New Roman" w:hAnsi="Times New Roman"/>
                  <w:color w:val="00466E"/>
                  <w:sz w:val="21"/>
                  <w:szCs w:val="21"/>
                  <w:u w:val="single"/>
                  <w:lang w:eastAsia="ru-RU"/>
                </w:rPr>
                <w:t>от 29 декабря 2015 г. N 389-ФЗ</w:t>
              </w:r>
            </w:hyperlink>
            <w:r w:rsidRPr="00904086">
              <w:rPr>
                <w:rFonts w:ascii="Times New Roman" w:hAnsi="Times New Roman"/>
                <w:color w:val="2D2D2D"/>
                <w:sz w:val="21"/>
                <w:szCs w:val="21"/>
                <w:lang w:eastAsia="ru-RU"/>
              </w:rPr>
              <w:t>, </w:t>
            </w:r>
            <w:hyperlink r:id="rId128" w:history="1">
              <w:r w:rsidRPr="00904086">
                <w:rPr>
                  <w:rFonts w:ascii="Times New Roman" w:hAnsi="Times New Roman"/>
                  <w:color w:val="00466E"/>
                  <w:sz w:val="21"/>
                  <w:szCs w:val="21"/>
                  <w:u w:val="single"/>
                  <w:lang w:eastAsia="ru-RU"/>
                </w:rPr>
                <w:t>от 29 декабря 2015 г. N 408-ФЗ</w:t>
              </w:r>
            </w:hyperlink>
            <w:r w:rsidRPr="00904086">
              <w:rPr>
                <w:rFonts w:ascii="Times New Roman" w:hAnsi="Times New Roman"/>
                <w:color w:val="2D2D2D"/>
                <w:sz w:val="21"/>
                <w:szCs w:val="21"/>
                <w:lang w:eastAsia="ru-RU"/>
              </w:rPr>
              <w:t>, от 26 апреля 2016 г. N 112-ФЗ, 3 июля 2016 г. N 286-ФЗ).</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физической культуры и спорта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Открытые плоскостные сооружения, в т.ч. стадион, спортивная арена</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Плавательные бассейны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(площадь зеркала воды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31-113-2004. Бассейны для плавания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Центры спортивной подготовки, в т.ч. легкоатлетической, по гандболу, футболу, адаптивным видам спорта, плаванию, гребным видам спорта и зимним видам спорта, велотреки.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со Справочным пособием к СНиП 2.08.02-89. Проектирование учебных комплексов и центров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Специализированные спортивные образовательные организации олимпийского резерва, в т.ч. детско-юношеские спортивные школы, колледжи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w:t>
            </w:r>
            <w:r w:rsidRPr="00904086">
              <w:rPr>
                <w:rFonts w:ascii="Times New Roman" w:hAnsi="Times New Roman"/>
                <w:color w:val="2D2D2D"/>
                <w:sz w:val="21"/>
                <w:szCs w:val="21"/>
                <w:lang w:eastAsia="ru-RU"/>
              </w:rPr>
              <w:br/>
              <w:t>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исходя из текущей обеспеченности региона объектами с учетом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обоснование показателя обеспеченности:</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44316 человек. 6 - 8% детей занимаются в спортивных образовательных организациях:</w:t>
            </w:r>
            <w:r w:rsidRPr="00904086">
              <w:rPr>
                <w:rFonts w:ascii="Times New Roman" w:hAnsi="Times New Roman"/>
                <w:color w:val="2D2D2D"/>
                <w:sz w:val="21"/>
                <w:szCs w:val="21"/>
                <w:lang w:eastAsia="ru-RU"/>
              </w:rPr>
              <w:br/>
              <w:t>44316 x 0,08 = 3545 человек;</w:t>
            </w:r>
            <w:r w:rsidRPr="00904086">
              <w:rPr>
                <w:rFonts w:ascii="Times New Roman" w:hAnsi="Times New Roman"/>
                <w:color w:val="2D2D2D"/>
                <w:sz w:val="21"/>
                <w:szCs w:val="21"/>
                <w:lang w:eastAsia="ru-RU"/>
              </w:rPr>
              <w:br/>
              <w:t>требуемое количество мест в спортивных образовательных организациях на текущий момент:</w:t>
            </w:r>
            <w:r w:rsidRPr="00904086">
              <w:rPr>
                <w:rFonts w:ascii="Times New Roman" w:hAnsi="Times New Roman"/>
                <w:color w:val="2D2D2D"/>
                <w:sz w:val="21"/>
                <w:szCs w:val="21"/>
                <w:lang w:eastAsia="ru-RU"/>
              </w:rPr>
              <w:br/>
              <w:t>(3545 / 44316) x 1000 = 80 мест на 1000 человек</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4.5.</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Крытые спортивные объекты в т.ч. спортивный зал, физкультурно-спортивный комплекс, крытые катки, ледовые дворцы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(единовременная пропускная способность, кол-во человек на 1000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нормативная потребность рассчитана в соответствии с СП 31-112-2004. Физкультурно-спортивные залы и Пособие к СНиП 2.08.02-89*. Проектирование спортивных залов, помещений для физкультурно-оздоровительных занятий и крытых катков с искусственным льдом</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культуры и искусства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Культурно-досуговые учреждения (в т.ч. музеи, дома культуры)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установлен в соответствии с СП 118.13330.2012. Общественные здания и сооружения и Пособием к СНиП 2.08.02-89. Проектирование клубов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Государственные театры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 СП 42.13330.2011. Градостроительство. Планировка и застройка городских и сельских поселений обоснование показателей обеспеченности: театры - показатель обеспеченности установлен в соответствии с СП 118.13330.2012 Общественные здания и сооружения и Пособие к СНиП 2.08.02-89. Проектирование театров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Концертные залы Республики Мордовия, в т.ч. филармония.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olor w:val="2D2D2D"/>
                <w:sz w:val="21"/>
                <w:szCs w:val="21"/>
                <w:lang w:eastAsia="ru-RU"/>
              </w:rPr>
              <w:br/>
              <w:t>концертные залы - показатель обеспеченности установлен в соответствии со Справочным пособием к СНиП 2.08.02-89. Проектирование театров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регионального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депо, посты пожарной охраны</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(количество (объект) при численности жителей).</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11.13130.2009. Места дислокации подразделений пожарной охраны, НПБ 101-95. Нормы проектирования объектов пожарной охраны.</w:t>
            </w:r>
            <w:r w:rsidRPr="00904086">
              <w:rPr>
                <w:rFonts w:ascii="Times New Roman" w:hAnsi="Times New Roman"/>
                <w:color w:val="2D2D2D"/>
                <w:sz w:val="21"/>
                <w:szCs w:val="21"/>
                <w:lang w:eastAsia="ru-RU"/>
              </w:rPr>
              <w:br/>
              <w:t>Обоснование: согласно НПБ 101-95, средняя скорость движения пожарного автотранспорта - 40 км/ч, согласно ч. 1. ст. 76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x 10 x 1,25 (поправочный коэффициент на неоднородность пути следования) = 8,3 км - для городских поселений; (40 / 60) x 20 x 1,25 = 16,6 км - для сельских поселений;</w:t>
            </w:r>
            <w:r w:rsidRPr="00904086">
              <w:rPr>
                <w:rFonts w:ascii="Times New Roman" w:hAnsi="Times New Roman"/>
                <w:color w:val="2D2D2D"/>
                <w:sz w:val="21"/>
                <w:szCs w:val="21"/>
                <w:lang w:eastAsia="ru-RU"/>
              </w:rPr>
              <w:b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5000 до 20000 жителей - 1 объект на 6 постов, от 20000 до 50000 жителей - 2 объекта на 6 постов, от 50000 до 100000 жителей - 2 объекта на 6 - 8 постов, свыше 250000 жителей - 4 - 7 объектов на 6 - 8 постов и т.д.</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время прибытия первого подразделения пожарной охраны</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установлено в соответствии с обязательными требованиями </w:t>
            </w:r>
            <w:hyperlink r:id="rId129" w:history="1">
              <w:r w:rsidRPr="00904086">
                <w:rPr>
                  <w:rFonts w:ascii="Times New Roman" w:hAnsi="Times New Roman"/>
                  <w:color w:val="00466E"/>
                  <w:sz w:val="21"/>
                  <w:szCs w:val="21"/>
                  <w:u w:val="single"/>
                  <w:lang w:eastAsia="ru-RU"/>
                </w:rPr>
                <w:t>Федерального закона от 22 июля 2008 г. N 123-ФЗ</w:t>
              </w:r>
            </w:hyperlink>
            <w:r w:rsidRPr="00904086">
              <w:rPr>
                <w:rFonts w:ascii="Times New Roman" w:hAnsi="Times New Roman"/>
                <w:color w:val="2D2D2D"/>
                <w:sz w:val="21"/>
                <w:szCs w:val="21"/>
                <w:lang w:eastAsia="ru-RU"/>
              </w:rPr>
              <w:t>. </w:t>
            </w:r>
            <w:hyperlink r:id="rId130" w:history="1">
              <w:r w:rsidRPr="00904086">
                <w:rPr>
                  <w:rFonts w:ascii="Times New Roman" w:hAnsi="Times New Roman"/>
                  <w:color w:val="00466E"/>
                  <w:sz w:val="21"/>
                  <w:szCs w:val="21"/>
                  <w:u w:val="single"/>
                  <w:lang w:eastAsia="ru-RU"/>
                </w:rPr>
                <w:t>Технический регламент о требованиях пожарной безопасности</w:t>
              </w:r>
            </w:hyperlink>
            <w:r w:rsidRPr="00904086">
              <w:rPr>
                <w:rFonts w:ascii="Times New Roman" w:hAnsi="Times New Roman"/>
                <w:color w:val="2D2D2D"/>
                <w:sz w:val="21"/>
                <w:szCs w:val="21"/>
                <w:lang w:eastAsia="ru-RU"/>
              </w:rPr>
              <w:t>,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Защитные сооружения гражданской обороны (убежища, противорадиационные укрытия)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(площадь, м2 на 1000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обязательными требованиями СП 88.13330.2014. Защитные сооружения гражданской обороны, с учетом зонирования региона по плотности расселения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(укрываемых) в каждом сооружении</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88.13330.2014. с учетом зонирования области по плотности расселения;</w:t>
            </w:r>
            <w:r w:rsidRPr="00904086">
              <w:rPr>
                <w:rFonts w:ascii="Times New Roman" w:hAnsi="Times New Roman"/>
                <w:color w:val="2D2D2D"/>
                <w:sz w:val="21"/>
                <w:szCs w:val="21"/>
                <w:lang w:eastAsia="ru-RU"/>
              </w:rPr>
              <w:br/>
              <w:t>обоснование:</w:t>
            </w:r>
            <w:r w:rsidRPr="00904086">
              <w:rPr>
                <w:rFonts w:ascii="Times New Roman" w:hAnsi="Times New Roman"/>
                <w:color w:val="2D2D2D"/>
                <w:sz w:val="21"/>
                <w:szCs w:val="21"/>
                <w:lang w:eastAsia="ru-RU"/>
              </w:rPr>
              <w:br/>
              <w:t>средний радиус сбора укрываемых: (1000 + 3000) / 2 = 2000 м = 2 км. Ориентировочная площадь сбора укрываемых: 3,14 (Пи) x 2(2) = 12,56 км(2);</w:t>
            </w:r>
            <w:r w:rsidRPr="00904086">
              <w:rPr>
                <w:rFonts w:ascii="Times New Roman" w:hAnsi="Times New Roman"/>
                <w:color w:val="2D2D2D"/>
                <w:sz w:val="21"/>
                <w:szCs w:val="21"/>
                <w:lang w:eastAsia="ru-RU"/>
              </w:rPr>
              <w:br/>
              <w:t>усредненная плотность расселения по территории Республики Мордовия: 508771,7 / 25736,7= 19,8 человек на каждый км(2) территории. В пределах площади сбора укрываемых необходимо укрыть: 19,8 x 12,56 = 249 человек</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пешеходной доступности (радиус сбора укрываемых</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регламентируется положениями СП 88.13330.2014. Защитные сооружения гражданской обороны</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11458"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обеспечения деятельности органов государственной власти</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Мировой суд</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судей на судебный участок)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152.13330.2012. Здания судов общей юрисдикции</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площадь помещений судебного участка на 1 судью, м(2)</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 площади помещений участков мировых судов:</w:t>
            </w:r>
            <w:r w:rsidRPr="00904086">
              <w:rPr>
                <w:rFonts w:ascii="Times New Roman" w:hAnsi="Times New Roman"/>
                <w:color w:val="2D2D2D"/>
                <w:sz w:val="21"/>
                <w:szCs w:val="21"/>
                <w:lang w:eastAsia="ru-RU"/>
              </w:rPr>
              <w:br/>
              <w:t>общая площадь помещений на 1 судью рассчитана в соответствии с Приложением М, СП 152.13330.2012. Здания судов общей юрисдикции, Таблица М.1: 12 м(2)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 расчетный показатель суммарной площади помещений мировых судов - 185 м(2) на 1 судью</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Администрация Республики Мордовия</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(объект)</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Государственный архив</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(м2 на 1 000 человек)</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118.13330.2012. Общественные здания и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обращения с отходами</w:t>
            </w: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(мощность или площадь объектов)</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СП 42.13330.2011. Градостроительство. Планировка и застройка городских и сельских поселений, с учетом полномочий Республики Мордовия.</w:t>
            </w:r>
            <w:r w:rsidRPr="00904086">
              <w:rPr>
                <w:rFonts w:ascii="Times New Roman" w:hAnsi="Times New Roman"/>
                <w:color w:val="2D2D2D"/>
                <w:sz w:val="21"/>
                <w:szCs w:val="21"/>
                <w:lang w:eastAsia="ru-RU"/>
              </w:rPr>
              <w:br/>
              <w:t>Размер санитарно-защитной зоны для полигона ТБО принят в соответствии с Санитарными правилами СП 2.1.7.1038-01.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СП 42.13330.2011,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2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 (размер СЗЗ или транспортная доступность, км)</w:t>
            </w:r>
          </w:p>
        </w:tc>
        <w:tc>
          <w:tcPr>
            <w:tcW w:w="572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региона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Таблица 2.2(а). Обоснование расчетных показателей для объектов местного значения</w:t>
      </w:r>
    </w:p>
    <w:tbl>
      <w:tblPr>
        <w:tblW w:w="0" w:type="auto"/>
        <w:tblCellMar>
          <w:left w:w="0" w:type="dxa"/>
          <w:right w:w="0" w:type="dxa"/>
        </w:tblCellMar>
        <w:tblLook w:val="00A0"/>
      </w:tblPr>
      <w:tblGrid>
        <w:gridCol w:w="664"/>
        <w:gridCol w:w="2865"/>
        <w:gridCol w:w="2381"/>
        <w:gridCol w:w="4011"/>
      </w:tblGrid>
      <w:tr w:rsidR="003F1FBC" w:rsidRPr="00E0317E" w:rsidTr="00904086">
        <w:trPr>
          <w:trHeight w:val="15"/>
        </w:trPr>
        <w:tc>
          <w:tcPr>
            <w:tcW w:w="739" w:type="dxa"/>
          </w:tcPr>
          <w:p w:rsidR="003F1FBC" w:rsidRPr="00904086" w:rsidRDefault="003F1FBC" w:rsidP="00904086">
            <w:pPr>
              <w:spacing w:after="0" w:line="240" w:lineRule="auto"/>
              <w:rPr>
                <w:rFonts w:ascii="Arial" w:hAnsi="Arial" w:cs="Arial"/>
                <w:color w:val="2D2D2D"/>
                <w:spacing w:val="2"/>
                <w:sz w:val="21"/>
                <w:szCs w:val="21"/>
                <w:lang w:eastAsia="ru-RU"/>
              </w:rPr>
            </w:pPr>
          </w:p>
        </w:tc>
        <w:tc>
          <w:tcPr>
            <w:tcW w:w="3511" w:type="dxa"/>
          </w:tcPr>
          <w:p w:rsidR="003F1FBC" w:rsidRPr="00904086" w:rsidRDefault="003F1FBC" w:rsidP="00904086">
            <w:pPr>
              <w:spacing w:after="0" w:line="240" w:lineRule="auto"/>
              <w:rPr>
                <w:rFonts w:ascii="Times New Roman" w:hAnsi="Times New Roman"/>
                <w:sz w:val="20"/>
                <w:szCs w:val="20"/>
                <w:lang w:eastAsia="ru-RU"/>
              </w:rPr>
            </w:pPr>
          </w:p>
        </w:tc>
        <w:tc>
          <w:tcPr>
            <w:tcW w:w="2587" w:type="dxa"/>
          </w:tcPr>
          <w:p w:rsidR="003F1FBC" w:rsidRPr="00904086" w:rsidRDefault="003F1FBC" w:rsidP="00904086">
            <w:pPr>
              <w:spacing w:after="0" w:line="240" w:lineRule="auto"/>
              <w:rPr>
                <w:rFonts w:ascii="Times New Roman" w:hAnsi="Times New Roman"/>
                <w:sz w:val="20"/>
                <w:szCs w:val="20"/>
                <w:lang w:eastAsia="ru-RU"/>
              </w:rPr>
            </w:pPr>
          </w:p>
        </w:tc>
        <w:tc>
          <w:tcPr>
            <w:tcW w:w="5544" w:type="dxa"/>
          </w:tcPr>
          <w:p w:rsidR="003F1FBC" w:rsidRPr="00904086" w:rsidRDefault="003F1FBC" w:rsidP="00904086">
            <w:pPr>
              <w:spacing w:after="0" w:line="240" w:lineRule="auto"/>
              <w:rPr>
                <w:rFonts w:ascii="Times New Roman" w:hAnsi="Times New Roman"/>
                <w:sz w:val="20"/>
                <w:szCs w:val="20"/>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N пп</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Наименование объекта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Расчетный показатель</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расчетного показателя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r>
      <w:tr w:rsidR="003F1FBC" w:rsidRPr="00E0317E" w:rsidTr="00904086">
        <w:tc>
          <w:tcPr>
            <w:tcW w:w="12382"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транспорта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Автомобильные дороги в т.ч. реконструируемые местного значения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(км/1 км(2) территории)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Станции технического обслуживания городского пассажирского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(объектов/транспорт. предприятие)</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условий развития транспортной инфраструктуры региона в целом и отдельных муниципальных районов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1.3.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Транспортно-эксплуатационные предприятия городского транспорта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(единиц/вид транспорта)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 (гл. 11), (п. 11.2)</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инженерной инфраструктуры</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электроснабжения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(электропотребление, кВт &lt;*&gt; ч/год.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42.13330.2011 Градостроительство. Планировка и застройка городских и сельских поселений. (приложение Н Укрупненные показатели электропотребления);</w:t>
            </w:r>
            <w:r w:rsidRPr="00904086">
              <w:rPr>
                <w:rFonts w:ascii="Times New Roman" w:hAnsi="Times New Roman"/>
                <w:color w:val="2D2D2D"/>
                <w:sz w:val="21"/>
                <w:szCs w:val="21"/>
                <w:lang w:eastAsia="ru-RU"/>
              </w:rPr>
              <w:br/>
              <w:t>РД 34.20.185-94 Инструкция по проектированию городских электрических сетей. Таблица 2.4.4. (крупные города со стационарными электроплитами)</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тепло- и газо- 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(тепло- газо- снабжение, м(3)/год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124.13330.2012 Тепловые сети. (Актуализированная редакция СНиП 41-02-2003);</w:t>
            </w:r>
            <w:r w:rsidRPr="00904086">
              <w:rPr>
                <w:rFonts w:ascii="Times New Roman" w:hAnsi="Times New Roman"/>
                <w:color w:val="2D2D2D"/>
                <w:sz w:val="21"/>
                <w:szCs w:val="21"/>
                <w:lang w:eastAsia="ru-RU"/>
              </w:rPr>
              <w:br/>
              <w:t>СП 42-101-2003 Общие положения по проектированию и строительству газораспределительных систем из металлических и полиэтиленовых труб (п. 3.12)</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водоснабжения населения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(водоснабжение,</w:t>
            </w:r>
            <w:r w:rsidRPr="00904086">
              <w:rPr>
                <w:rFonts w:ascii="Times New Roman" w:hAnsi="Times New Roman"/>
                <w:color w:val="2D2D2D"/>
                <w:sz w:val="21"/>
                <w:szCs w:val="21"/>
                <w:lang w:eastAsia="ru-RU"/>
              </w:rPr>
              <w:br/>
              <w:t>л/сут. на 1 человека)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30.13330.2012 Внутренний водопровод и канализация зданий. Актуализированная редакция СНиП 2.04.01-85* (приложение А);</w:t>
            </w:r>
            <w:r w:rsidRPr="00904086">
              <w:rPr>
                <w:rFonts w:ascii="Times New Roman" w:hAnsi="Times New Roman"/>
                <w:color w:val="2D2D2D"/>
                <w:sz w:val="21"/>
                <w:szCs w:val="21"/>
                <w:lang w:eastAsia="ru-RU"/>
              </w:rPr>
              <w:br/>
              <w:t>СП 31.13330.2012 Водоснабжение. Наружные сети и сооружения. Актуализированная редакция СНиП 2.04.02-84* (с изменением N 1)</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2.4.</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относящиеся к области водоотведения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(водоотведение, % от водопотребления)</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СП 32.13330.2012 Канализация. Наружные сети и сооружения. Актуализированная редакция СНиП 2.04.03-85 (п. 2.1);</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 Актуализированная редакция СНиП 2.07.01-89* (таблица 12 - Суточный объем поверхностного стока)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пожарные требования 123-ФЗ и санитарные СанПиН 2.2.1/2.1.1.1200-03;</w:t>
            </w:r>
            <w:r w:rsidRPr="00904086">
              <w:rPr>
                <w:rFonts w:ascii="Times New Roman" w:hAnsi="Times New Roman"/>
                <w:color w:val="2D2D2D"/>
                <w:sz w:val="21"/>
                <w:szCs w:val="21"/>
                <w:lang w:eastAsia="ru-RU"/>
              </w:rPr>
              <w:br/>
              <w:t>Охранные зоны коммуникаций СНиП 2.07.01-89*;</w:t>
            </w:r>
            <w:r w:rsidRPr="00904086">
              <w:rPr>
                <w:rFonts w:ascii="Times New Roman" w:hAnsi="Times New Roman"/>
                <w:color w:val="2D2D2D"/>
                <w:sz w:val="21"/>
                <w:szCs w:val="21"/>
                <w:lang w:eastAsia="ru-RU"/>
              </w:rPr>
              <w:br/>
              <w:t>СНиП 2.07.01-89* Градостроительство. Планировка и застройка городских и сельских поселений, п. 2.14, 5.5;</w:t>
            </w:r>
            <w:r w:rsidRPr="00904086">
              <w:rPr>
                <w:rFonts w:ascii="Times New Roman" w:hAnsi="Times New Roman"/>
                <w:color w:val="2D2D2D"/>
                <w:sz w:val="21"/>
                <w:szCs w:val="21"/>
                <w:lang w:eastAsia="ru-RU"/>
              </w:rPr>
              <w:br/>
              <w:t>МСК - МГСН 1.01-99 п. 9.1.7;</w:t>
            </w:r>
            <w:r w:rsidRPr="00904086">
              <w:rPr>
                <w:rFonts w:ascii="Times New Roman" w:hAnsi="Times New Roman"/>
                <w:color w:val="2D2D2D"/>
                <w:sz w:val="21"/>
                <w:szCs w:val="21"/>
                <w:lang w:eastAsia="ru-RU"/>
              </w:rPr>
              <w:br/>
              <w:t>МО - ТСН 30-303-2000 п. 10.15;</w:t>
            </w:r>
            <w:r w:rsidRPr="00904086">
              <w:rPr>
                <w:rFonts w:ascii="Times New Roman" w:hAnsi="Times New Roman"/>
                <w:color w:val="2D2D2D"/>
                <w:sz w:val="21"/>
                <w:szCs w:val="21"/>
                <w:lang w:eastAsia="ru-RU"/>
              </w:rPr>
              <w:br/>
              <w:t>малоэтажная застройка: СП 30-102-99 Планировка и застройка территорий малоэтажного жилищного строительства, п. 5.3</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здравоохранения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Межрайонные больницы общего типа в т.ч. детская, скорой помощи и т.д.</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обоснование показателя:</w:t>
            </w:r>
            <w:r w:rsidRPr="00904086">
              <w:rPr>
                <w:rFonts w:ascii="Times New Roman" w:hAnsi="Times New Roman"/>
                <w:color w:val="2D2D2D"/>
                <w:sz w:val="21"/>
                <w:szCs w:val="21"/>
                <w:lang w:eastAsia="ru-RU"/>
              </w:rPr>
              <w:b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807453 человек, на 1 января 2006 г. - 864704 человек. Коэффициент прироста-убыли населения за 10 лет составил: 807453 / 864704 = 0,93;</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суммарной мощностью 1750 койко-мест (по данным </w:t>
            </w:r>
            <w:hyperlink r:id="rId131" w:history="1">
              <w:r w:rsidRPr="00904086">
                <w:rPr>
                  <w:rFonts w:ascii="Times New Roman" w:hAnsi="Times New Roman"/>
                  <w:color w:val="00466E"/>
                  <w:sz w:val="21"/>
                  <w:szCs w:val="21"/>
                  <w:u w:val="single"/>
                  <w:lang w:eastAsia="ru-RU"/>
                </w:rPr>
                <w:t>приказа Министерства здравоохранения Республики Мордовия N 544 от 14 мая 2015 г</w:t>
              </w:r>
            </w:hyperlink>
            <w:r w:rsidRPr="00904086">
              <w:rPr>
                <w:rFonts w:ascii="Times New Roman" w:hAnsi="Times New Roman"/>
                <w:color w:val="2D2D2D"/>
                <w:sz w:val="21"/>
                <w:szCs w:val="21"/>
                <w:lang w:eastAsia="ru-RU"/>
              </w:rPr>
              <w:t>.);</w:t>
            </w:r>
            <w:r w:rsidRPr="00904086">
              <w:rPr>
                <w:rFonts w:ascii="Times New Roman" w:hAnsi="Times New Roman"/>
                <w:color w:val="2D2D2D"/>
                <w:sz w:val="21"/>
                <w:szCs w:val="21"/>
                <w:lang w:eastAsia="ru-RU"/>
              </w:rPr>
              <w:b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- 49506 жителей, зоны средней плотности расселения (3) - 33014 жителей, зоны низкой плотности расселения (4) - 14948 жителей;</w:t>
            </w:r>
            <w:r w:rsidRPr="00904086">
              <w:rPr>
                <w:rFonts w:ascii="Times New Roman" w:hAnsi="Times New Roman"/>
                <w:color w:val="2D2D2D"/>
                <w:sz w:val="21"/>
                <w:szCs w:val="21"/>
                <w:lang w:eastAsia="ru-RU"/>
              </w:rPr>
              <w:br/>
              <w:t>за 2015 год по разным причинам в стационарной форме обслуживалось порядка 15% населения Республики Мордовия;</w:t>
            </w:r>
            <w:r w:rsidRPr="00904086">
              <w:rPr>
                <w:rFonts w:ascii="Times New Roman" w:hAnsi="Times New Roman"/>
                <w:color w:val="2D2D2D"/>
                <w:sz w:val="21"/>
                <w:szCs w:val="21"/>
                <w:lang w:eastAsia="ru-RU"/>
              </w:rPr>
              <w:br/>
              <w:t>следовательно, требуемое количество мест в стационарах на 1000 человек:</w:t>
            </w:r>
            <w:r w:rsidRPr="00904086">
              <w:rPr>
                <w:rFonts w:ascii="Times New Roman" w:hAnsi="Times New Roman"/>
                <w:color w:val="2D2D2D"/>
                <w:sz w:val="21"/>
                <w:szCs w:val="21"/>
                <w:lang w:eastAsia="ru-RU"/>
              </w:rPr>
              <w:br/>
              <w:t>(49506 x 0,15 x 0,93 (коэффициент прироста-убыли населения)) / 1000 = 6,9 мест для муниципальных образований зоны высокой плотности расселения (2);</w:t>
            </w:r>
            <w:r w:rsidRPr="00904086">
              <w:rPr>
                <w:rFonts w:ascii="Times New Roman" w:hAnsi="Times New Roman"/>
                <w:color w:val="2D2D2D"/>
                <w:sz w:val="21"/>
                <w:szCs w:val="21"/>
                <w:lang w:eastAsia="ru-RU"/>
              </w:rPr>
              <w:br/>
              <w:t>(33014 x 0,15 x 0,93 (коэффициент прироста-убыли населения)) / 1000 = 4,6 мест для муниципальных образований зоны средней плотности расселения (3);</w:t>
            </w:r>
            <w:r w:rsidRPr="00904086">
              <w:rPr>
                <w:rFonts w:ascii="Times New Roman" w:hAnsi="Times New Roman"/>
                <w:color w:val="2D2D2D"/>
                <w:sz w:val="21"/>
                <w:szCs w:val="21"/>
                <w:lang w:eastAsia="ru-RU"/>
              </w:rPr>
              <w:br/>
              <w:t>(14948 x 0,15 x 0,93 (коэффициент прироста-убыли населения)) / 1000 = 2,1 место для муниципальных образований зоны низкой плотности расселения (4)</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кол-во посещений в смену (в поликлиниках при объектах)</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 Ардатовская районная больница, Атяшевская районная больница, Дубенская районная больница, Зубово-Полянская районная больница, Инсарская районная больница, Ичалковская межрайонная больница, Ковылкинская межрайонная больница, Комсомольская межрайонная больница, Краснослободская межрайонная больница, Рузаевская межрайонная больница, Старошайговская районная больница, Темниковская районная больница им. А.И.Рудявского, Тенгушевская районная больница, Торбеевская межрайонная больница). Текущая обеспеченность населения: поликлиники при больницах рассчитаны в совокупности на 8 655 посещений в смену;</w:t>
            </w:r>
            <w:r w:rsidRPr="00904086">
              <w:rPr>
                <w:rFonts w:ascii="Times New Roman" w:hAnsi="Times New Roman"/>
                <w:color w:val="2D2D2D"/>
                <w:sz w:val="21"/>
                <w:szCs w:val="21"/>
                <w:lang w:eastAsia="ru-RU"/>
              </w:rPr>
              <w:b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r w:rsidRPr="00904086">
              <w:rPr>
                <w:rFonts w:ascii="Times New Roman" w:hAnsi="Times New Roman"/>
                <w:color w:val="2D2D2D"/>
                <w:sz w:val="21"/>
                <w:szCs w:val="21"/>
                <w:lang w:eastAsia="ru-RU"/>
              </w:rPr>
              <w:br/>
              <w:t>по данным Росстата за 2015 г. количество умерших в Республике Мордовия составило 11431 человек, 87% из них - от внешних причин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при объектах составляет: 967 x 0,75 x 1,38 (коэффициент увеличения инвестиционного потенциала) + 21,37 = 1022,2 посещений в смену для муниципальных образований зоны высокой плотности расселения (2);</w:t>
            </w:r>
            <w:r w:rsidRPr="00904086">
              <w:rPr>
                <w:rFonts w:ascii="Times New Roman" w:hAnsi="Times New Roman"/>
                <w:color w:val="2D2D2D"/>
                <w:sz w:val="21"/>
                <w:szCs w:val="21"/>
                <w:lang w:eastAsia="ru-RU"/>
              </w:rPr>
              <w:br/>
              <w:t>2748 x 0,75 x 1,38 (коэффициент увеличения инвестиционного потенциала) + 21,37 = 2865,6 посещений в смену для муниципальных образований зоны средней плотности расселения (3);</w:t>
            </w:r>
            <w:r w:rsidRPr="00904086">
              <w:rPr>
                <w:rFonts w:ascii="Times New Roman" w:hAnsi="Times New Roman"/>
                <w:color w:val="2D2D2D"/>
                <w:sz w:val="21"/>
                <w:szCs w:val="21"/>
                <w:lang w:eastAsia="ru-RU"/>
              </w:rPr>
              <w:br/>
              <w:t>4940 x 0,75 x 1,38 (коэффициент увеличения инвестиционного потенциала) + 21,37 = 5333 посещений в смену для муниципальных образований зоны низкой плотности расселения (4)</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3.2.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Поликлиники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посещений в смену)</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данным Министерства здравоохранения Республики Мордовия на 2015 год, текущая обеспеченность населения: поликлиники Республики Мордовия (Кочкуровская поликлиника, Ромодановская поликлиника) рассчитаны в совокупности на 630 посещений в смену;</w:t>
            </w:r>
            <w:r w:rsidRPr="00904086">
              <w:rPr>
                <w:rFonts w:ascii="Times New Roman" w:hAnsi="Times New Roman"/>
                <w:color w:val="2D2D2D"/>
                <w:sz w:val="21"/>
                <w:szCs w:val="21"/>
                <w:lang w:eastAsia="ru-RU"/>
              </w:rPr>
              <w:br/>
              <w:t>по данным Росстата за 2015 год количество умерших в Республике Мордовия составило 11431 человек, 87% из них - естественным путем - 942 человека;</w:t>
            </w:r>
            <w:r w:rsidRPr="00904086">
              <w:rPr>
                <w:rFonts w:ascii="Times New Roman" w:hAnsi="Times New Roman"/>
                <w:color w:val="2D2D2D"/>
                <w:sz w:val="21"/>
                <w:szCs w:val="21"/>
                <w:lang w:eastAsia="ru-RU"/>
              </w:rPr>
              <w:br/>
              <w:t>ежегодно по разным причинам в поликлиники обращаются 75% населения Республики Мордовия;</w:t>
            </w:r>
            <w:r w:rsidRPr="00904086">
              <w:rPr>
                <w:rFonts w:ascii="Times New Roman" w:hAnsi="Times New Roman"/>
                <w:color w:val="2D2D2D"/>
                <w:sz w:val="21"/>
                <w:szCs w:val="21"/>
                <w:lang w:eastAsia="ru-RU"/>
              </w:rPr>
              <w:b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x 20,5 &lt;*&gt; = 30,75 смены;</w:t>
            </w:r>
            <w:r w:rsidRPr="00904086">
              <w:rPr>
                <w:rFonts w:ascii="Times New Roman" w:hAnsi="Times New Roman"/>
                <w:color w:val="2D2D2D"/>
                <w:sz w:val="21"/>
                <w:szCs w:val="21"/>
                <w:lang w:eastAsia="ru-RU"/>
              </w:rPr>
              <w:br/>
              <w:t>количество посещений в смену, которых не хватает (по умершим) составляет: (942 x 0,75 x 0,93 &lt;**&gt;) / 30,75 (кол-во смен в месяц) = 21,37 посещения в смену</w:t>
            </w:r>
            <w:r w:rsidRPr="00904086">
              <w:rPr>
                <w:rFonts w:ascii="Times New Roman" w:hAnsi="Times New Roman"/>
                <w:color w:val="2D2D2D"/>
                <w:sz w:val="21"/>
                <w:szCs w:val="21"/>
                <w:lang w:eastAsia="ru-RU"/>
              </w:rPr>
              <w:br/>
              <w:t>&lt;*&gt; среднее количество рабочих дней в месяц с учетом всех выходных и праздничных дней в году,</w:t>
            </w:r>
            <w:r w:rsidRPr="00904086">
              <w:rPr>
                <w:rFonts w:ascii="Times New Roman" w:hAnsi="Times New Roman"/>
                <w:color w:val="2D2D2D"/>
                <w:sz w:val="21"/>
                <w:szCs w:val="21"/>
                <w:lang w:eastAsia="ru-RU"/>
              </w:rPr>
              <w:br/>
              <w:t>&lt;**&gt; 0,93 - коэффициент прироста-убыли населения;</w:t>
            </w:r>
            <w:r w:rsidRPr="00904086">
              <w:rPr>
                <w:rFonts w:ascii="Times New Roman" w:hAnsi="Times New Roman"/>
                <w:color w:val="2D2D2D"/>
                <w:sz w:val="21"/>
                <w:szCs w:val="21"/>
                <w:lang w:eastAsia="ru-RU"/>
              </w:rPr>
              <w:br/>
              <w:t>расчетное требуемое количество посещений в смену в поликлиниках составляет:</w:t>
            </w:r>
            <w:r w:rsidRPr="00904086">
              <w:rPr>
                <w:rFonts w:ascii="Times New Roman" w:hAnsi="Times New Roman"/>
                <w:color w:val="2D2D2D"/>
                <w:sz w:val="21"/>
                <w:szCs w:val="21"/>
                <w:lang w:eastAsia="ru-RU"/>
              </w:rPr>
              <w:br/>
              <w:t>630 x 0,75 x 1,38 &lt;*&gt; (коэффициент увеличения инвестиционного потенциала) + 21,37 = 673,42 посещений в смену (на все объекты местного значения)</w:t>
            </w:r>
            <w:r w:rsidRPr="00904086">
              <w:rPr>
                <w:rFonts w:ascii="Times New Roman" w:hAnsi="Times New Roman"/>
                <w:color w:val="2D2D2D"/>
                <w:sz w:val="21"/>
                <w:szCs w:val="21"/>
                <w:lang w:eastAsia="ru-RU"/>
              </w:rPr>
              <w:br/>
              <w:t>1,38 &lt;*&gt; - по результатам анализа прогнозов и стратегии социального-экономического развития Республики Мордовия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образования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Дошкольные образовательные организации для обслуживания населения нескольких населенных пунктов и микрорайонов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56677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r w:rsidRPr="00904086">
              <w:rPr>
                <w:rFonts w:ascii="Times New Roman" w:hAnsi="Times New Roman"/>
                <w:color w:val="2D2D2D"/>
                <w:sz w:val="21"/>
                <w:szCs w:val="21"/>
                <w:lang w:eastAsia="ru-RU"/>
              </w:rPr>
              <w:br/>
              <w:t>требуемое количество мест: (56677 x 0,93 (коэффициент прироста-убыли населения)) / 807453 = 0,07 мест. Требуемое (расчетное) количество мест на 1000 человек: 0,07 x 1000 = 70 мест;</w:t>
            </w:r>
            <w:r w:rsidRPr="00904086">
              <w:rPr>
                <w:rFonts w:ascii="Times New Roman" w:hAnsi="Times New Roman"/>
                <w:color w:val="2D2D2D"/>
                <w:sz w:val="21"/>
                <w:szCs w:val="21"/>
                <w:lang w:eastAsia="ru-RU"/>
              </w:rPr>
              <w:br/>
              <w:t>требуемое количество мест в городском округе г. Саранск: (36287 x 0,93 (коэффициент прироста-убыли населения) / 807453 = 0,04 мест. Требуемое (расчетное) количество мест на 1000 человек: 0,04 x 1000 = 40 мест;</w:t>
            </w:r>
            <w:r w:rsidRPr="00904086">
              <w:rPr>
                <w:rFonts w:ascii="Times New Roman" w:hAnsi="Times New Roman"/>
                <w:color w:val="2D2D2D"/>
                <w:sz w:val="21"/>
                <w:szCs w:val="21"/>
                <w:lang w:eastAsia="ru-RU"/>
              </w:rPr>
              <w:br/>
              <w:t>требуемое количество мест в городских и сельских поселениях: (20390 x 0,93 (коэффициент прироста-убыли населения) / 807453 = 0,02 мест. Требуемое (расчетное) количество мест на 1000 человек: 0,02 x 1000 = 20 мест</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Дошкольная образовательная организация специализированного типа</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(кол-во мест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48871 человек.</w:t>
            </w:r>
            <w:r w:rsidRPr="00904086">
              <w:rPr>
                <w:rFonts w:ascii="Times New Roman" w:hAnsi="Times New Roman"/>
                <w:color w:val="2D2D2D"/>
                <w:sz w:val="21"/>
                <w:szCs w:val="21"/>
                <w:lang w:eastAsia="ru-RU"/>
              </w:rPr>
              <w:br/>
              <w:t>20% требуют специальных условий обучения: 48871 x 0,2 = 9774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r w:rsidRPr="00904086">
              <w:rPr>
                <w:rFonts w:ascii="Times New Roman" w:hAnsi="Times New Roman"/>
                <w:color w:val="2D2D2D"/>
                <w:sz w:val="21"/>
                <w:szCs w:val="21"/>
                <w:lang w:eastAsia="ru-RU"/>
              </w:rPr>
              <w:br/>
              <w:t>требуемое количество мест: (9774 / 807453) x 1000 x 0,93 = 11,9 места;</w:t>
            </w:r>
            <w:r w:rsidRPr="00904086">
              <w:rPr>
                <w:rFonts w:ascii="Times New Roman" w:hAnsi="Times New Roman"/>
                <w:color w:val="2D2D2D"/>
                <w:sz w:val="21"/>
                <w:szCs w:val="21"/>
                <w:lang w:eastAsia="ru-RU"/>
              </w:rPr>
              <w:br/>
              <w:t>требуемое количество мест в городском округе г. Саранск: 31380 x 0,2 = 6276 человек. (6276 x 0,93 (коэффициент прироста-убыли населения)) / 807453 = 0,008 мест. Требуемое (расчетное) количество мест на 1000 человек:</w:t>
            </w:r>
            <w:r w:rsidRPr="00904086">
              <w:rPr>
                <w:rFonts w:ascii="Times New Roman" w:hAnsi="Times New Roman"/>
                <w:color w:val="2D2D2D"/>
                <w:sz w:val="21"/>
                <w:szCs w:val="21"/>
                <w:lang w:eastAsia="ru-RU"/>
              </w:rPr>
              <w:br/>
              <w:t>0,008 x 1000 = 8 мест;</w:t>
            </w:r>
            <w:r w:rsidRPr="00904086">
              <w:rPr>
                <w:rFonts w:ascii="Times New Roman" w:hAnsi="Times New Roman"/>
                <w:color w:val="2D2D2D"/>
                <w:sz w:val="21"/>
                <w:szCs w:val="21"/>
                <w:lang w:eastAsia="ru-RU"/>
              </w:rPr>
              <w:br/>
              <w:t>требуемое количество мест в городских и сельских поселениях: 17491 x 0,2 = 3498 человек.</w:t>
            </w:r>
            <w:r w:rsidRPr="00904086">
              <w:rPr>
                <w:rFonts w:ascii="Times New Roman" w:hAnsi="Times New Roman"/>
                <w:color w:val="2D2D2D"/>
                <w:sz w:val="21"/>
                <w:szCs w:val="21"/>
                <w:lang w:eastAsia="ru-RU"/>
              </w:rPr>
              <w:br/>
              <w:t>(3498 x 0,93 (коэффициент прироста-убыли населения)) / 807453 = 0,004 мест. Требуемое (расчетное) количество мест на 1000 человек: 0,004 x 1000 = 4 места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Общеобразовательная организация (школа, лицей, гимназия)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(учащихся</w:t>
            </w:r>
            <w:r w:rsidRPr="00904086">
              <w:rPr>
                <w:rFonts w:ascii="Times New Roman" w:hAnsi="Times New Roman"/>
                <w:color w:val="2D2D2D"/>
                <w:sz w:val="21"/>
                <w:szCs w:val="21"/>
                <w:lang w:eastAsia="ru-RU"/>
              </w:rPr>
              <w:br/>
              <w:t>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86458 человек;</w:t>
            </w:r>
            <w:r w:rsidRPr="00904086">
              <w:rPr>
                <w:rFonts w:ascii="Times New Roman" w:hAnsi="Times New Roman"/>
                <w:color w:val="2D2D2D"/>
                <w:sz w:val="21"/>
                <w:szCs w:val="21"/>
                <w:lang w:eastAsia="ru-RU"/>
              </w:rPr>
              <w:br/>
              <w:t>согласно сведениям Министерства образования Республики Мордовия в Республике имеется 434 общеобразовательных организаций местного значения;</w:t>
            </w:r>
            <w:r w:rsidRPr="00904086">
              <w:rPr>
                <w:rFonts w:ascii="Times New Roman" w:hAnsi="Times New Roman"/>
                <w:color w:val="2D2D2D"/>
                <w:sz w:val="21"/>
                <w:szCs w:val="21"/>
                <w:lang w:eastAsia="ru-RU"/>
              </w:rPr>
              <w:br/>
              <w:t>необходимое количество мест: (86458 x 0,93 (коэффициент прироста-убыли населения)) / 807453 = 0,1 мест. Требуемое (расчетное) количество мест на 1000 человек: 0,1 x 1000 = 100 мест;</w:t>
            </w:r>
            <w:r w:rsidRPr="00904086">
              <w:rPr>
                <w:rFonts w:ascii="Times New Roman" w:hAnsi="Times New Roman"/>
                <w:color w:val="2D2D2D"/>
                <w:sz w:val="21"/>
                <w:szCs w:val="21"/>
                <w:lang w:eastAsia="ru-RU"/>
              </w:rPr>
              <w:br/>
              <w:t>текущая обеспеченность местами в организациях такого типа в городском округе г. Саранск: (55038 / 807453) x 1000 x 0,93 (коэффициент прироста-убыли населения) = 67,5 мест;</w:t>
            </w:r>
            <w:r w:rsidRPr="00904086">
              <w:rPr>
                <w:rFonts w:ascii="Times New Roman" w:hAnsi="Times New Roman"/>
                <w:color w:val="2D2D2D"/>
                <w:sz w:val="21"/>
                <w:szCs w:val="21"/>
                <w:lang w:eastAsia="ru-RU"/>
              </w:rPr>
              <w:br/>
              <w:t>текущая обеспеченность местами в организациях такого типа в городских и сельских поселениях: (31580 / 807453) x 1000 x 0,93 (коэффициент прироста-убыли населения) = 38,7 мест</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с учетом требований СП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физической культуры и спорта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для физкультурно-оздоровительных занятий (физкультурные залы)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(1000 м(2) на 50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N Пр-2508 в рамках муниципальных программ Республики Мордовия, требований СП 118.13330.2012. Общественные здания и сооружения. 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нормативная потребность рассчитана в соответствии с СП 31-112-2004 Физкультурно-спортивные залы</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требованиями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5.2.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Плоскостные спортивные сооружения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вместимости (1000 м(2) на 10000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СП 118.13330.2012. Общественные здания и сооружения;</w:t>
            </w:r>
            <w:r w:rsidRPr="00904086">
              <w:rPr>
                <w:rFonts w:ascii="Times New Roman" w:hAnsi="Times New Roman"/>
                <w:color w:val="2D2D2D"/>
                <w:sz w:val="21"/>
                <w:szCs w:val="21"/>
                <w:lang w:eastAsia="ru-RU"/>
              </w:rPr>
              <w:br/>
              <w:t>СП 42.13330.2011. Градостроительство. Планировка и застройка городских и сельских поселений;</w:t>
            </w:r>
            <w:r w:rsidRPr="00904086">
              <w:rPr>
                <w:rFonts w:ascii="Times New Roman" w:hAnsi="Times New Roman"/>
                <w:color w:val="2D2D2D"/>
                <w:sz w:val="21"/>
                <w:szCs w:val="21"/>
                <w:lang w:eastAsia="ru-RU"/>
              </w:rPr>
              <w:br/>
              <w:t>нормативная потребность рассчитана в соответствии с СП 31-115-2006 Открытые плоскостные физкультурно-спортивные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установлены в соответствии с требованиями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культуры и искусства</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Муниципальная библиотека, музеи и помещения для культурно-массовой и политико-воспитательной работы с населением, досуга и любительской деятельности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исходя из текущей обеспеченности региона объектами, с учетом требований СП 118.13330.2012. Общественные здания и сооружения;</w:t>
            </w:r>
            <w:r w:rsidRPr="00904086">
              <w:rPr>
                <w:rFonts w:ascii="Times New Roman" w:hAnsi="Times New Roman"/>
                <w:color w:val="2D2D2D"/>
                <w:sz w:val="21"/>
                <w:szCs w:val="21"/>
                <w:lang w:eastAsia="ru-RU"/>
              </w:rPr>
              <w:br/>
              <w:t>ВСН 17-73. Ведомственные строительные нормы. Указания по проектированию зданий и помещений библиотек</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допустимый уровень территориальной доступности населения приняты на основании показателей, установленных в СП 42.13330.2011. Градостроительство. Планировка и застройка городских и сельских поселений (приложение Ж)</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6.2.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Расчетные показатели муниципальных объектов, предназначенных для организации ритуальных услуг, мест захоронения</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(объект на 1000 человек или га/1000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СП 42.13330.2011 Градостроительство. Планировка и застройка городских и сельских поселений (приложению Ж);</w:t>
            </w:r>
            <w:r w:rsidRPr="00904086">
              <w:rPr>
                <w:rFonts w:ascii="Times New Roman" w:hAnsi="Times New Roman"/>
                <w:color w:val="2D2D2D"/>
                <w:sz w:val="21"/>
                <w:szCs w:val="21"/>
                <w:lang w:eastAsia="ru-RU"/>
              </w:rPr>
              <w:br/>
              <w:t>ориентировочную санитарно-защитную зону принимать в соответствии с СанПиНом 2.2.1/2.1.1.1200-03 Санитарно-защитные зоны и санитарная классификация предприятий, сооружений и иных объектов (новая редакция)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местного значения в области утилизации и переработки бытовых и промышленных отходов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7.1.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Полигон твердых бытовых отходов</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42.13330.2011 Градостроительство. Планировка и застройка городских и сельских поселений. Актуализированная редакция СНиП 2.07.01-89* (п. 12.18, табл. 13);</w:t>
            </w:r>
            <w:r w:rsidRPr="00904086">
              <w:rPr>
                <w:rFonts w:ascii="Times New Roman" w:hAnsi="Times New Roman"/>
                <w:color w:val="2D2D2D"/>
                <w:sz w:val="21"/>
                <w:szCs w:val="21"/>
                <w:lang w:eastAsia="ru-RU"/>
              </w:rPr>
              <w:br/>
              <w:t>Объекты размещения отходов производства проектируются в соответствии с требованиями </w:t>
            </w:r>
            <w:hyperlink r:id="rId132" w:history="1">
              <w:r w:rsidRPr="00904086">
                <w:rPr>
                  <w:rFonts w:ascii="Times New Roman" w:hAnsi="Times New Roman"/>
                  <w:color w:val="00466E"/>
                  <w:sz w:val="21"/>
                  <w:szCs w:val="21"/>
                  <w:u w:val="single"/>
                  <w:lang w:eastAsia="ru-RU"/>
                </w:rPr>
                <w:t>Постановления Главного государственного санитарного врача РФ от 30 апреля 2003 г. N 80 "О введении в действие санитарно-эпидемиологических правил и нормативов СанПиН 2.1.7.1322-03"</w:t>
              </w:r>
            </w:hyperlink>
            <w:r w:rsidRPr="00904086">
              <w:rPr>
                <w:rFonts w:ascii="Times New Roman" w:hAnsi="Times New Roman"/>
                <w:color w:val="2D2D2D"/>
                <w:sz w:val="21"/>
                <w:szCs w:val="21"/>
                <w:lang w:eastAsia="ru-RU"/>
              </w:rPr>
              <w:t>, СНиП 2.01.28-85 Полигоны по обезвреживанию и захоронению токсичных промышленных отходов. Основные положения по проектированию</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w:t>
            </w:r>
          </w:p>
        </w:tc>
        <w:tc>
          <w:tcPr>
            <w:tcW w:w="1164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в области обеспечения деятельности органов государственной власти</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8.1.</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Многофункциональные центры оказания государственных и муниципальных услуг населению</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118.13330.2012. Общественные здания и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8.2.</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Помещения Администрации</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(сотрудников на 10 000 человек или м(2) на сотрудника)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СП 118.13330.2012. Общественные здания и сооружения</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установлен в соответствии с 42.13330.2011. Градостроительство. Планировка и застройка городских и сельских поселений</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jc w:val="center"/>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8.3.</w:t>
            </w: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по переработке промышленных, бытовых и биологических отходов, свалки, полигоны и другие объекты</w:t>
            </w: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обеспеченности (га/1000 тонн или га на 1000 человек)</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объекты размещения отходов производства проектируются в соответствии с требованиями СанПиН 2.1.7.1322-03 "Гигиенические требования к размещению и обезвреживанию отходов производства и потребления", СНиП 2.01.28-85. Полигоны по обезвреживанию и захоронению токсичных промышленных отходов</w:t>
            </w:r>
          </w:p>
        </w:tc>
      </w:tr>
      <w:tr w:rsidR="003F1FBC" w:rsidRPr="00E0317E" w:rsidTr="00904086">
        <w:tc>
          <w:tcPr>
            <w:tcW w:w="73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c>
          <w:tcPr>
            <w:tcW w:w="35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sz w:val="20"/>
                <w:szCs w:val="20"/>
                <w:lang w:eastAsia="ru-RU"/>
              </w:rPr>
            </w:pPr>
          </w:p>
        </w:tc>
        <w:tc>
          <w:tcPr>
            <w:tcW w:w="25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315" w:lineRule="atLeast"/>
              <w:textAlignment w:val="baseline"/>
              <w:rPr>
                <w:rFonts w:ascii="Times New Roman" w:hAnsi="Times New Roman"/>
                <w:color w:val="2D2D2D"/>
                <w:sz w:val="21"/>
                <w:szCs w:val="21"/>
                <w:lang w:eastAsia="ru-RU"/>
              </w:rPr>
            </w:pPr>
            <w:r w:rsidRPr="00904086">
              <w:rPr>
                <w:rFonts w:ascii="Times New Roman" w:hAnsi="Times New Roman"/>
                <w:color w:val="2D2D2D"/>
                <w:sz w:val="21"/>
                <w:szCs w:val="21"/>
                <w:lang w:eastAsia="ru-RU"/>
              </w:rPr>
              <w:t>показатель транспортной доступности объекта</w:t>
            </w:r>
          </w:p>
        </w:tc>
        <w:tc>
          <w:tcPr>
            <w:tcW w:w="554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3F1FBC" w:rsidRPr="00904086" w:rsidRDefault="003F1FBC" w:rsidP="00904086">
            <w:pPr>
              <w:spacing w:after="0" w:line="240" w:lineRule="auto"/>
              <w:rPr>
                <w:rFonts w:ascii="Times New Roman" w:hAnsi="Times New Roman"/>
                <w:color w:val="2D2D2D"/>
                <w:sz w:val="21"/>
                <w:szCs w:val="21"/>
                <w:lang w:eastAsia="ru-RU"/>
              </w:rPr>
            </w:pPr>
          </w:p>
        </w:tc>
      </w:tr>
    </w:tbl>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3. Правила и область применения расчетных показателей, содержащихся в основной части региональных нормативов градостроительного проектирования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 Республике Мордовия и учитываются при разработке документов территориального планирования Республики Мордовия, правил землепользования и застройки, документации по планировке территорий в части размещения объектов регионального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региональных нормативах.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В соответствии с </w:t>
      </w:r>
      <w:hyperlink r:id="rId133" w:history="1">
        <w:r w:rsidRPr="00904086">
          <w:rPr>
            <w:rFonts w:ascii="Arial" w:hAnsi="Arial" w:cs="Arial"/>
            <w:color w:val="00466E"/>
            <w:spacing w:val="2"/>
            <w:sz w:val="21"/>
            <w:szCs w:val="21"/>
            <w:u w:val="single"/>
            <w:lang w:eastAsia="ru-RU"/>
          </w:rPr>
          <w:t>приказом Минрегиона России от 26 мая 2011 года N 244 "Об утверждении Методических рекомендаций по разработке проектов генеральных планов поселений и городских округов"</w:t>
        </w:r>
      </w:hyperlink>
      <w:r w:rsidRPr="00904086">
        <w:rPr>
          <w:rFonts w:ascii="Arial" w:hAnsi="Arial" w:cs="Arial"/>
          <w:color w:val="2D2D2D"/>
          <w:spacing w:val="2"/>
          <w:sz w:val="21"/>
          <w:szCs w:val="21"/>
          <w:lang w:eastAsia="ru-RU"/>
        </w:rPr>
        <w:t>, региональные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Нормативы установлены с учетом природно-климатических, социально-демографических, национальных, территориальных особенностей поселений и городских округов, расположенных на территории 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применяются при разработке местных нормативов градостроительного проектирования, при подготовке, согласовании, экспертизе, утверждении и реализации документов территориального планирования (схем территориального планирования муниципальных районов, генеральных планов городских округов и поселений), документации по планировке территорий в части размещения объектов регионального значения, правил землепользования и застройки с учетом перспективы их развития, а также используются для принятия решений органами государственной власти, органами местного самоуправления, при осуществлении градостроительной деятельности физическими и юридическими лицами.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Региональные нормативы градостроительного проектирования распространяются на предлагаемые к размещению на территории Республики Мордовия объекты регионального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3F1FBC" w:rsidRPr="00904086" w:rsidRDefault="003F1FBC"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1. СПИСОК ТЕРМИНОВ И ОПРЕДЕЛЕНИЙ, ПРИМЕНЯЕМЫХ В НОРМАТИВАХ ГРАДОСТРОИТЕЛЬНОГО ПРОЕКТИРОВАНИЯ</w:t>
      </w:r>
    </w:p>
    <w:p w:rsidR="003F1FBC" w:rsidRPr="00904086" w:rsidRDefault="003F1FBC"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1</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Автовокзал:</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10000 жителей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Автовокзал межмуниципального сообщения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Автостанция - объект транспортной инфраструктуры региона, обеспечивающий возможность отправления до 1000 человек в сутки.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Автомобильная дорога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Земельный участок - часть земной поверхности, границы которой определены в соответствии с федеральным законодательством.</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Инфраструктура населенных пунктов - комплекс подсистем и отраслей городского хозяйства, обслуживающий и обеспечивающий организацию их среды и жизнедеятельности населения.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Защитные сооружения гражданской обороны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Населенный пункт - территориальное образование, имеющее сосредоточенную застройку в пределах установленной границы и служащее местом постоянного проживания людей.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Общественные территории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Объект капитального строительства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Плотность застройки - суммарная поэтажная площадь застройки наземной части зданий и сооружений в габаритах наружных стен, приходящаяся на единицу территории участка.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Санитарно-защитная зона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Система расселения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Социальная инфраструктура - комплекс объектов обслуживания и взаимосвязей между ними, наземных и дистанционных, в пределах муниципального района.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Территориальное планирование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Территориальная зона - зона, для которой в правилах землепользования и застройки определены границы и установлены градостроительные регламенты.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Функциональные зоны - зоны, для которых документами территориального планирования определены границы и функциональное назначение.</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Устойчивое развитие территорий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Граница населенного пункта - внешние границы земель населенного пункта, отделяющие эти земли от земель иных категорий.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полосы отвода автомобильных дорог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технических (охранных) зон инженерных сооружений и коммуникаций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водоохранных зон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прибрежных зон (полос) - границы территорий внутри водоохранных зон, на которых в соответствии с </w:t>
      </w:r>
      <w:hyperlink r:id="rId134" w:history="1">
        <w:r w:rsidRPr="00904086">
          <w:rPr>
            <w:rFonts w:ascii="Arial" w:hAnsi="Arial" w:cs="Arial"/>
            <w:color w:val="00466E"/>
            <w:spacing w:val="2"/>
            <w:sz w:val="21"/>
            <w:szCs w:val="21"/>
            <w:u w:val="single"/>
            <w:lang w:eastAsia="ru-RU"/>
          </w:rPr>
          <w:t>Водным кодексом Российской Федерации</w:t>
        </w:r>
      </w:hyperlink>
      <w:r w:rsidRPr="00904086">
        <w:rPr>
          <w:rFonts w:ascii="Arial" w:hAnsi="Arial" w:cs="Arial"/>
          <w:color w:val="2D2D2D"/>
          <w:spacing w:val="2"/>
          <w:sz w:val="21"/>
          <w:szCs w:val="21"/>
          <w:lang w:eastAsia="ru-RU"/>
        </w:rPr>
        <w:t>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придорожной полосы - внешние границы земельных участков, примыкающих к полосе отвода автомобильных дорог.</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 санитарной охраны источников питьевого водоснабжения - границы зон I и II пояса, а также жесткой зоны II пояса:</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жесткой зоны II пояса санитарной охраны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Границы санитарно-защитных зон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законодательством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r>
    </w:p>
    <w:p w:rsidR="003F1FBC" w:rsidRPr="00904086" w:rsidRDefault="003F1FBC" w:rsidP="00904086">
      <w:pPr>
        <w:shd w:val="clear" w:color="auto" w:fill="FFFFFF"/>
        <w:spacing w:before="375" w:after="225" w:line="240" w:lineRule="auto"/>
        <w:jc w:val="center"/>
        <w:textAlignment w:val="baseline"/>
        <w:outlineLvl w:val="2"/>
        <w:rPr>
          <w:rFonts w:ascii="Arial" w:hAnsi="Arial" w:cs="Arial"/>
          <w:color w:val="4C4C4C"/>
          <w:spacing w:val="2"/>
          <w:sz w:val="29"/>
          <w:szCs w:val="29"/>
          <w:lang w:eastAsia="ru-RU"/>
        </w:rPr>
      </w:pPr>
      <w:r w:rsidRPr="00904086">
        <w:rPr>
          <w:rFonts w:ascii="Arial" w:hAnsi="Arial" w:cs="Arial"/>
          <w:color w:val="4C4C4C"/>
          <w:spacing w:val="2"/>
          <w:sz w:val="29"/>
          <w:szCs w:val="29"/>
          <w:lang w:eastAsia="ru-RU"/>
        </w:rPr>
        <w:t>Приложение 2. ПЕРЕЧЕНЬ ЗАКОНОДАТЕЛЬНЫХ И НОРМАТИВНО-ПРАВОВЫХ АКТОВ, ИСПОЛЬЗОВАННЫХ ПРИ РАЗРАБОТКЕ РЕГИОНАЛЬНЫХ НОРМАТИВОВ ГРАДОСТРОИТЕЛЬНОГО ПРОЕКТИРОВАНИЯ</w:t>
      </w:r>
    </w:p>
    <w:p w:rsidR="003F1FBC" w:rsidRPr="00904086" w:rsidRDefault="003F1FBC" w:rsidP="00904086">
      <w:pPr>
        <w:shd w:val="clear" w:color="auto" w:fill="FFFFFF"/>
        <w:spacing w:after="0" w:line="315" w:lineRule="atLeast"/>
        <w:jc w:val="righ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Приложение 2</w:t>
      </w:r>
      <w:r w:rsidRPr="00904086">
        <w:rPr>
          <w:rFonts w:ascii="Arial" w:hAnsi="Arial" w:cs="Arial"/>
          <w:color w:val="2D2D2D"/>
          <w:spacing w:val="2"/>
          <w:sz w:val="21"/>
          <w:szCs w:val="21"/>
          <w:lang w:eastAsia="ru-RU"/>
        </w:rPr>
        <w:br/>
        <w:t>к Региональным нормативам</w:t>
      </w:r>
      <w:r w:rsidRPr="00904086">
        <w:rPr>
          <w:rFonts w:ascii="Arial" w:hAnsi="Arial" w:cs="Arial"/>
          <w:color w:val="2D2D2D"/>
          <w:spacing w:val="2"/>
          <w:sz w:val="21"/>
          <w:szCs w:val="21"/>
          <w:lang w:eastAsia="ru-RU"/>
        </w:rPr>
        <w:br/>
        <w:t>градостроительного проектирования</w:t>
      </w:r>
      <w:r w:rsidRPr="00904086">
        <w:rPr>
          <w:rFonts w:ascii="Arial" w:hAnsi="Arial" w:cs="Arial"/>
          <w:color w:val="2D2D2D"/>
          <w:spacing w:val="2"/>
          <w:sz w:val="21"/>
          <w:szCs w:val="21"/>
          <w:lang w:eastAsia="ru-RU"/>
        </w:rPr>
        <w:br/>
        <w:t>Республики Мордовия</w:t>
      </w:r>
    </w:p>
    <w:p w:rsidR="003F1FBC" w:rsidRPr="00904086" w:rsidRDefault="003F1FBC" w:rsidP="00904086">
      <w:pPr>
        <w:shd w:val="clear" w:color="auto" w:fill="FFFFFF"/>
        <w:spacing w:after="0" w:line="315" w:lineRule="atLeast"/>
        <w:textAlignment w:val="baseline"/>
        <w:rPr>
          <w:rFonts w:ascii="Arial" w:hAnsi="Arial" w:cs="Arial"/>
          <w:color w:val="2D2D2D"/>
          <w:spacing w:val="2"/>
          <w:sz w:val="21"/>
          <w:szCs w:val="21"/>
          <w:lang w:eastAsia="ru-RU"/>
        </w:rPr>
      </w:pPr>
      <w:r w:rsidRPr="00904086">
        <w:rPr>
          <w:rFonts w:ascii="Arial" w:hAnsi="Arial" w:cs="Arial"/>
          <w:color w:val="2D2D2D"/>
          <w:spacing w:val="2"/>
          <w:sz w:val="21"/>
          <w:szCs w:val="21"/>
          <w:lang w:eastAsia="ru-RU"/>
        </w:rPr>
        <w:t>Федеральные нормативно-правовые акты: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1. </w:t>
      </w:r>
      <w:hyperlink r:id="rId135" w:history="1">
        <w:r w:rsidRPr="00904086">
          <w:rPr>
            <w:rFonts w:ascii="Arial" w:hAnsi="Arial" w:cs="Arial"/>
            <w:color w:val="00466E"/>
            <w:spacing w:val="2"/>
            <w:sz w:val="21"/>
            <w:szCs w:val="21"/>
            <w:u w:val="single"/>
            <w:lang w:eastAsia="ru-RU"/>
          </w:rPr>
          <w:t>Конституция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2. </w:t>
      </w:r>
      <w:hyperlink r:id="rId136" w:history="1">
        <w:r w:rsidRPr="00904086">
          <w:rPr>
            <w:rFonts w:ascii="Arial" w:hAnsi="Arial" w:cs="Arial"/>
            <w:color w:val="00466E"/>
            <w:spacing w:val="2"/>
            <w:sz w:val="21"/>
            <w:szCs w:val="21"/>
            <w:u w:val="single"/>
            <w:lang w:eastAsia="ru-RU"/>
          </w:rPr>
          <w:t>Градостроительный кодекс Российской Федерации от 29 декабря 2004 года N 190-ФЗ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3. </w:t>
      </w:r>
      <w:hyperlink r:id="rId137" w:history="1">
        <w:r w:rsidRPr="00904086">
          <w:rPr>
            <w:rFonts w:ascii="Arial" w:hAnsi="Arial" w:cs="Arial"/>
            <w:color w:val="00466E"/>
            <w:spacing w:val="2"/>
            <w:sz w:val="21"/>
            <w:szCs w:val="21"/>
            <w:u w:val="single"/>
            <w:lang w:eastAsia="ru-RU"/>
          </w:rPr>
          <w:t>Земельный кодекс Российской Федерации от 25 октября 2001 года N 136-ФЗ</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4. Федеральный закон Российской Федерации от 25 июня 2008 года N 73-ФЗ "Об объектах культурного наследия (памятниках истории и культуры) народов Российской Федерации".</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5. Федеральный закон Российской Федерации </w:t>
      </w:r>
      <w:hyperlink r:id="rId138" w:history="1">
        <w:r w:rsidRPr="00904086">
          <w:rPr>
            <w:rFonts w:ascii="Arial" w:hAnsi="Arial" w:cs="Arial"/>
            <w:color w:val="00466E"/>
            <w:spacing w:val="2"/>
            <w:sz w:val="21"/>
            <w:szCs w:val="21"/>
            <w:u w:val="single"/>
            <w:lang w:eastAsia="ru-RU"/>
          </w:rPr>
          <w:t>от 21 декабря 1994 года N 68-ФЗ "О защите населения и территорий от чрезвычайных ситуаций природного и техногенного характера"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6. Федеральный закон Российской Федерации </w:t>
      </w:r>
      <w:hyperlink r:id="rId139" w:history="1">
        <w:r w:rsidRPr="00904086">
          <w:rPr>
            <w:rFonts w:ascii="Arial" w:hAnsi="Arial" w:cs="Arial"/>
            <w:color w:val="00466E"/>
            <w:spacing w:val="2"/>
            <w:sz w:val="21"/>
            <w:szCs w:val="21"/>
            <w:u w:val="single"/>
            <w:lang w:eastAsia="ru-RU"/>
          </w:rPr>
          <w:t>от 24 ноября 1995 года N 181-ФЗ "О социальной защите инвалидов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7. Федеральный закон Российской Федерации </w:t>
      </w:r>
      <w:hyperlink r:id="rId140" w:history="1">
        <w:r w:rsidRPr="00904086">
          <w:rPr>
            <w:rFonts w:ascii="Arial" w:hAnsi="Arial" w:cs="Arial"/>
            <w:color w:val="00466E"/>
            <w:spacing w:val="2"/>
            <w:sz w:val="21"/>
            <w:szCs w:val="21"/>
            <w:u w:val="single"/>
            <w:lang w:eastAsia="ru-RU"/>
          </w:rPr>
          <w:t>от 10 января 2002 года N 7-ФЗ "Об охране окружающей среды"</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8. Федеральный закон Российской Федерации </w:t>
      </w:r>
      <w:hyperlink r:id="rId141" w:history="1">
        <w:r w:rsidRPr="00904086">
          <w:rPr>
            <w:rFonts w:ascii="Arial" w:hAnsi="Arial" w:cs="Arial"/>
            <w:color w:val="00466E"/>
            <w:spacing w:val="2"/>
            <w:sz w:val="21"/>
            <w:szCs w:val="21"/>
            <w:u w:val="single"/>
            <w:lang w:eastAsia="ru-RU"/>
          </w:rPr>
          <w:t>от 6 октября 2003 года N 131-ФЗ "Об общих принципах организации местного самоуправления в Российской Федерации"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9. Федеральный закон Российской Федерации </w:t>
      </w:r>
      <w:hyperlink r:id="rId142" w:history="1">
        <w:r w:rsidRPr="00904086">
          <w:rPr>
            <w:rFonts w:ascii="Arial" w:hAnsi="Arial" w:cs="Arial"/>
            <w:color w:val="00466E"/>
            <w:spacing w:val="2"/>
            <w:sz w:val="21"/>
            <w:szCs w:val="21"/>
            <w:u w:val="single"/>
            <w:lang w:eastAsia="ru-RU"/>
          </w:rPr>
          <w:t>от 22 июля 2008 года N 123-ФЗ "Технический регламент о требованиях пожарной безопасности"</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10. </w:t>
      </w:r>
      <w:hyperlink r:id="rId143" w:history="1">
        <w:r w:rsidRPr="00904086">
          <w:rPr>
            <w:rFonts w:ascii="Arial" w:hAnsi="Arial" w:cs="Arial"/>
            <w:color w:val="00466E"/>
            <w:spacing w:val="2"/>
            <w:sz w:val="21"/>
            <w:szCs w:val="21"/>
            <w:u w:val="single"/>
            <w:lang w:eastAsia="ru-RU"/>
          </w:rPr>
          <w:t>Постановление Правительства Российской Федерации от 2 сентября 2009 года N 717 "О нормах отвода земель для размещения автомобильных дорог и (или) объектов дорожного сервиса"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11. </w:t>
      </w:r>
      <w:hyperlink r:id="rId144" w:history="1">
        <w:r w:rsidRPr="00904086">
          <w:rPr>
            <w:rFonts w:ascii="Arial" w:hAnsi="Arial" w:cs="Arial"/>
            <w:color w:val="00466E"/>
            <w:spacing w:val="2"/>
            <w:sz w:val="21"/>
            <w:szCs w:val="21"/>
            <w:u w:val="single"/>
            <w:lang w:eastAsia="ru-RU"/>
          </w:rPr>
          <w:t>Приказ Министерства здравоохранения России от 23 июня 2015 года N 361н "О внесении изменений в приказ Министерства здравоохранения и социального развития Российской Федерации от 15 мая 2012 года N 543н "Об утверждении Положения об организации оказания первичной медико-санитарной помощи взрослому населению"</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12. Приказ Министерства чрезвычайных ситуаций Российской Федерации </w:t>
      </w:r>
      <w:hyperlink r:id="rId145" w:history="1">
        <w:r w:rsidRPr="00904086">
          <w:rPr>
            <w:rFonts w:ascii="Arial" w:hAnsi="Arial" w:cs="Arial"/>
            <w:color w:val="00466E"/>
            <w:spacing w:val="2"/>
            <w:sz w:val="21"/>
            <w:szCs w:val="21"/>
            <w:u w:val="single"/>
            <w:lang w:eastAsia="ru-RU"/>
          </w:rPr>
          <w:t>от 25 октября 2004 года N 484 "Об утверждении типового паспорта безопасности территорий субъектов Российской Федерации и муниципальных образований"</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Нормативно-правовые акты Республики Мордовия</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13. </w:t>
      </w:r>
      <w:hyperlink r:id="rId146" w:history="1">
        <w:r w:rsidRPr="00904086">
          <w:rPr>
            <w:rFonts w:ascii="Arial" w:hAnsi="Arial" w:cs="Arial"/>
            <w:color w:val="00466E"/>
            <w:spacing w:val="2"/>
            <w:sz w:val="21"/>
            <w:szCs w:val="21"/>
            <w:u w:val="single"/>
            <w:lang w:eastAsia="ru-RU"/>
          </w:rPr>
          <w:t>Закон Республики Мордовия от 3 августа 2015 года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14. </w:t>
      </w:r>
      <w:hyperlink r:id="rId147" w:history="1">
        <w:r w:rsidRPr="00904086">
          <w:rPr>
            <w:rFonts w:ascii="Arial" w:hAnsi="Arial" w:cs="Arial"/>
            <w:color w:val="00466E"/>
            <w:spacing w:val="2"/>
            <w:sz w:val="21"/>
            <w:szCs w:val="21"/>
            <w:u w:val="single"/>
            <w:lang w:eastAsia="ru-RU"/>
          </w:rPr>
          <w:t>Постановление Правительства Республики Мордовия от 21 декабря 2009 года N 555 "Об утверждении схемы территориального планирования Республики Мордовия"</w:t>
        </w:r>
      </w:hyperlink>
      <w:r w:rsidRPr="00904086">
        <w:rPr>
          <w:rFonts w:ascii="Arial" w:hAnsi="Arial" w:cs="Arial"/>
          <w:color w:val="2D2D2D"/>
          <w:spacing w:val="2"/>
          <w:sz w:val="21"/>
          <w:szCs w:val="21"/>
          <w:lang w:eastAsia="ru-RU"/>
        </w:rPr>
        <w:t> (в редакции </w:t>
      </w:r>
      <w:hyperlink r:id="rId148" w:history="1">
        <w:r w:rsidRPr="00904086">
          <w:rPr>
            <w:rFonts w:ascii="Arial" w:hAnsi="Arial" w:cs="Arial"/>
            <w:color w:val="00466E"/>
            <w:spacing w:val="2"/>
            <w:sz w:val="21"/>
            <w:szCs w:val="21"/>
            <w:u w:val="single"/>
            <w:lang w:eastAsia="ru-RU"/>
          </w:rPr>
          <w:t>постановления Правительства Республики Мордовия от 29 января 2015 года N 39</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15. </w:t>
      </w:r>
      <w:hyperlink r:id="rId149" w:history="1">
        <w:r w:rsidRPr="00904086">
          <w:rPr>
            <w:rFonts w:ascii="Arial" w:hAnsi="Arial" w:cs="Arial"/>
            <w:color w:val="00466E"/>
            <w:spacing w:val="2"/>
            <w:sz w:val="21"/>
            <w:szCs w:val="21"/>
            <w:u w:val="single"/>
            <w:lang w:eastAsia="ru-RU"/>
          </w:rPr>
          <w:t>Закон Республики Мордовия от 26 мая 2014 года N 32-З "О видах объектов регионального и местного значения, подлежащих отображению в документах территориального планирования"</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16. </w:t>
      </w:r>
      <w:hyperlink r:id="rId150" w:history="1">
        <w:r w:rsidRPr="00904086">
          <w:rPr>
            <w:rFonts w:ascii="Arial" w:hAnsi="Arial" w:cs="Arial"/>
            <w:color w:val="00466E"/>
            <w:spacing w:val="2"/>
            <w:sz w:val="21"/>
            <w:szCs w:val="21"/>
            <w:u w:val="single"/>
            <w:lang w:eastAsia="ru-RU"/>
          </w:rPr>
          <w:t>Закон Республики Мордовия от 1 октября 2008 года N 94-З "О Стратегии социально-экономического развития Республики Мордовия до 2025 года"</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Строительные нормы и правила, своды правил по проектированию и строительству</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17. НПБ 101-95. "Нормы проектирования объектов пожарной охраны".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18. СНиП 11-04-2003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года N 150.</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19. СНиП 21-01-97* "Пожарная безопасность зданий и сооружений", утвержденные постановлением Министерства строительства Российской Федерации от 13 февраля 1997 года N 18 - 7.</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20. СП 42.13330.2011 "Градостроительство. Планировка и застройка городских и сельских поселений", утвержденные </w:t>
      </w:r>
      <w:hyperlink r:id="rId151"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28 декабря 2010 года N 820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21. СП 118.13330.2012 "Общественные здания и сооружения", утвержденные </w:t>
      </w:r>
      <w:hyperlink r:id="rId152" w:history="1">
        <w:r w:rsidRPr="00904086">
          <w:rPr>
            <w:rFonts w:ascii="Arial" w:hAnsi="Arial" w:cs="Arial"/>
            <w:color w:val="00466E"/>
            <w:spacing w:val="2"/>
            <w:sz w:val="21"/>
            <w:szCs w:val="21"/>
            <w:u w:val="single"/>
            <w:lang w:eastAsia="ru-RU"/>
          </w:rPr>
          <w:t>приказом Министерства регионального развития Российской Федерации от 29 декабря 2011 года N 635/10</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22. СП 11.13130.2009 "Места дислокации подразделений пожарной охраны. Порядок и методика определения", утвержденные </w:t>
      </w:r>
      <w:hyperlink r:id="rId153" w:history="1">
        <w:r w:rsidRPr="00904086">
          <w:rPr>
            <w:rFonts w:ascii="Arial" w:hAnsi="Arial" w:cs="Arial"/>
            <w:color w:val="00466E"/>
            <w:spacing w:val="2"/>
            <w:sz w:val="21"/>
            <w:szCs w:val="21"/>
            <w:u w:val="single"/>
            <w:lang w:eastAsia="ru-RU"/>
          </w:rPr>
          <w:t>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года N 181</w:t>
        </w:r>
      </w:hyperlink>
      <w:r w:rsidRPr="00904086">
        <w:rPr>
          <w:rFonts w:ascii="Arial" w:hAnsi="Arial" w:cs="Arial"/>
          <w:color w:val="2D2D2D"/>
          <w:spacing w:val="2"/>
          <w:sz w:val="21"/>
          <w:szCs w:val="21"/>
          <w:lang w:eastAsia="ru-RU"/>
        </w:rPr>
        <w:t>.</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23. СП 88.13330.2014. "Защитные сооружения гражданской обороны".</w:t>
      </w:r>
      <w:r w:rsidRPr="00904086">
        <w:rPr>
          <w:rFonts w:ascii="Arial" w:hAnsi="Arial" w:cs="Arial"/>
          <w:color w:val="2D2D2D"/>
          <w:spacing w:val="2"/>
          <w:sz w:val="21"/>
          <w:szCs w:val="21"/>
          <w:lang w:eastAsia="ru-RU"/>
        </w:rPr>
        <w:br/>
      </w:r>
      <w:r w:rsidRPr="00904086">
        <w:rPr>
          <w:rFonts w:ascii="Arial" w:hAnsi="Arial" w:cs="Arial"/>
          <w:color w:val="2D2D2D"/>
          <w:spacing w:val="2"/>
          <w:sz w:val="21"/>
          <w:szCs w:val="21"/>
          <w:lang w:eastAsia="ru-RU"/>
        </w:rPr>
        <w:br/>
        <w:t>24. СП 152.13330.2012. "Здания судов общей юрисдикции".</w:t>
      </w:r>
    </w:p>
    <w:p w:rsidR="003F1FBC" w:rsidRDefault="003F1FBC"/>
    <w:sectPr w:rsidR="003F1FBC" w:rsidSect="00904086">
      <w:pgSz w:w="11906" w:h="16838"/>
      <w:pgMar w:top="851" w:right="851"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25871"/>
    <w:rsid w:val="00312C24"/>
    <w:rsid w:val="00325871"/>
    <w:rsid w:val="0038437A"/>
    <w:rsid w:val="003F1FBC"/>
    <w:rsid w:val="006B1393"/>
    <w:rsid w:val="006B6E5D"/>
    <w:rsid w:val="008059FE"/>
    <w:rsid w:val="008117F0"/>
    <w:rsid w:val="00904086"/>
    <w:rsid w:val="009124B4"/>
    <w:rsid w:val="00C3771B"/>
    <w:rsid w:val="00CF24EC"/>
    <w:rsid w:val="00E0036B"/>
    <w:rsid w:val="00E0317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4EC"/>
    <w:pPr>
      <w:spacing w:after="160" w:line="259" w:lineRule="auto"/>
    </w:pPr>
    <w:rPr>
      <w:lang w:eastAsia="en-US"/>
    </w:rPr>
  </w:style>
  <w:style w:type="paragraph" w:styleId="Heading1">
    <w:name w:val="heading 1"/>
    <w:basedOn w:val="Normal"/>
    <w:link w:val="Heading1Char"/>
    <w:uiPriority w:val="99"/>
    <w:qFormat/>
    <w:rsid w:val="00904086"/>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Heading2">
    <w:name w:val="heading 2"/>
    <w:basedOn w:val="Normal"/>
    <w:link w:val="Heading2Char"/>
    <w:uiPriority w:val="99"/>
    <w:qFormat/>
    <w:rsid w:val="00904086"/>
    <w:pPr>
      <w:spacing w:before="100" w:beforeAutospacing="1" w:after="100" w:afterAutospacing="1" w:line="240" w:lineRule="auto"/>
      <w:outlineLvl w:val="1"/>
    </w:pPr>
    <w:rPr>
      <w:rFonts w:ascii="Times New Roman" w:eastAsia="Times New Roman" w:hAnsi="Times New Roman"/>
      <w:b/>
      <w:bCs/>
      <w:sz w:val="36"/>
      <w:szCs w:val="36"/>
      <w:lang w:eastAsia="ru-RU"/>
    </w:rPr>
  </w:style>
  <w:style w:type="paragraph" w:styleId="Heading3">
    <w:name w:val="heading 3"/>
    <w:basedOn w:val="Normal"/>
    <w:link w:val="Heading3Char"/>
    <w:uiPriority w:val="99"/>
    <w:qFormat/>
    <w:rsid w:val="00904086"/>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04086"/>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904086"/>
    <w:rPr>
      <w:rFonts w:ascii="Times New Roman" w:hAnsi="Times New Roman" w:cs="Times New Roman"/>
      <w:b/>
      <w:bCs/>
      <w:sz w:val="36"/>
      <w:szCs w:val="36"/>
      <w:lang w:eastAsia="ru-RU"/>
    </w:rPr>
  </w:style>
  <w:style w:type="character" w:customStyle="1" w:styleId="Heading3Char">
    <w:name w:val="Heading 3 Char"/>
    <w:basedOn w:val="DefaultParagraphFont"/>
    <w:link w:val="Heading3"/>
    <w:uiPriority w:val="99"/>
    <w:locked/>
    <w:rsid w:val="00904086"/>
    <w:rPr>
      <w:rFonts w:ascii="Times New Roman" w:hAnsi="Times New Roman" w:cs="Times New Roman"/>
      <w:b/>
      <w:bCs/>
      <w:sz w:val="27"/>
      <w:szCs w:val="27"/>
      <w:lang w:eastAsia="ru-RU"/>
    </w:rPr>
  </w:style>
  <w:style w:type="paragraph" w:customStyle="1" w:styleId="headertext">
    <w:name w:val="headertext"/>
    <w:basedOn w:val="Normal"/>
    <w:uiPriority w:val="99"/>
    <w:rsid w:val="00904086"/>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Normal"/>
    <w:uiPriority w:val="99"/>
    <w:rsid w:val="00904086"/>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904086"/>
    <w:rPr>
      <w:rFonts w:cs="Times New Roman"/>
    </w:rPr>
  </w:style>
  <w:style w:type="character" w:styleId="Hyperlink">
    <w:name w:val="Hyperlink"/>
    <w:basedOn w:val="DefaultParagraphFont"/>
    <w:uiPriority w:val="99"/>
    <w:semiHidden/>
    <w:rsid w:val="00904086"/>
    <w:rPr>
      <w:rFonts w:cs="Times New Roman"/>
      <w:color w:val="0000FF"/>
      <w:u w:val="single"/>
    </w:rPr>
  </w:style>
  <w:style w:type="character" w:styleId="FollowedHyperlink">
    <w:name w:val="FollowedHyperlink"/>
    <w:basedOn w:val="DefaultParagraphFont"/>
    <w:uiPriority w:val="99"/>
    <w:semiHidden/>
    <w:rsid w:val="00904086"/>
    <w:rPr>
      <w:rFonts w:cs="Times New Roman"/>
      <w:color w:val="800080"/>
      <w:u w:val="single"/>
    </w:rPr>
  </w:style>
  <w:style w:type="paragraph" w:styleId="NormalWeb">
    <w:name w:val="Normal (Web)"/>
    <w:basedOn w:val="Normal"/>
    <w:uiPriority w:val="99"/>
    <w:semiHidden/>
    <w:rsid w:val="00904086"/>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32510104">
      <w:marLeft w:val="0"/>
      <w:marRight w:val="0"/>
      <w:marTop w:val="0"/>
      <w:marBottom w:val="0"/>
      <w:divBdr>
        <w:top w:val="none" w:sz="0" w:space="0" w:color="auto"/>
        <w:left w:val="none" w:sz="0" w:space="0" w:color="auto"/>
        <w:bottom w:val="none" w:sz="0" w:space="0" w:color="auto"/>
        <w:right w:val="none" w:sz="0" w:space="0" w:color="auto"/>
      </w:divBdr>
      <w:divsChild>
        <w:div w:id="1432510087">
          <w:marLeft w:val="0"/>
          <w:marRight w:val="0"/>
          <w:marTop w:val="0"/>
          <w:marBottom w:val="0"/>
          <w:divBdr>
            <w:top w:val="none" w:sz="0" w:space="0" w:color="auto"/>
            <w:left w:val="none" w:sz="0" w:space="0" w:color="auto"/>
            <w:bottom w:val="none" w:sz="0" w:space="0" w:color="auto"/>
            <w:right w:val="none" w:sz="0" w:space="0" w:color="auto"/>
          </w:divBdr>
          <w:divsChild>
            <w:div w:id="1432510085">
              <w:marLeft w:val="0"/>
              <w:marRight w:val="0"/>
              <w:marTop w:val="0"/>
              <w:marBottom w:val="0"/>
              <w:divBdr>
                <w:top w:val="inset" w:sz="2" w:space="0" w:color="auto"/>
                <w:left w:val="inset" w:sz="2" w:space="1" w:color="auto"/>
                <w:bottom w:val="inset" w:sz="2" w:space="0" w:color="auto"/>
                <w:right w:val="inset" w:sz="2" w:space="1" w:color="auto"/>
              </w:divBdr>
            </w:div>
            <w:div w:id="1432510086">
              <w:marLeft w:val="0"/>
              <w:marRight w:val="0"/>
              <w:marTop w:val="0"/>
              <w:marBottom w:val="0"/>
              <w:divBdr>
                <w:top w:val="inset" w:sz="2" w:space="0" w:color="auto"/>
                <w:left w:val="inset" w:sz="2" w:space="1" w:color="auto"/>
                <w:bottom w:val="inset" w:sz="2" w:space="0" w:color="auto"/>
                <w:right w:val="inset" w:sz="2" w:space="1" w:color="auto"/>
              </w:divBdr>
            </w:div>
            <w:div w:id="1432510088">
              <w:marLeft w:val="0"/>
              <w:marRight w:val="0"/>
              <w:marTop w:val="0"/>
              <w:marBottom w:val="0"/>
              <w:divBdr>
                <w:top w:val="inset" w:sz="2" w:space="0" w:color="auto"/>
                <w:left w:val="inset" w:sz="2" w:space="1" w:color="auto"/>
                <w:bottom w:val="inset" w:sz="2" w:space="0" w:color="auto"/>
                <w:right w:val="inset" w:sz="2" w:space="1" w:color="auto"/>
              </w:divBdr>
            </w:div>
            <w:div w:id="1432510089">
              <w:marLeft w:val="0"/>
              <w:marRight w:val="0"/>
              <w:marTop w:val="0"/>
              <w:marBottom w:val="0"/>
              <w:divBdr>
                <w:top w:val="inset" w:sz="2" w:space="0" w:color="auto"/>
                <w:left w:val="inset" w:sz="2" w:space="1" w:color="auto"/>
                <w:bottom w:val="inset" w:sz="2" w:space="0" w:color="auto"/>
                <w:right w:val="inset" w:sz="2" w:space="1" w:color="auto"/>
              </w:divBdr>
            </w:div>
            <w:div w:id="1432510090">
              <w:marLeft w:val="0"/>
              <w:marRight w:val="0"/>
              <w:marTop w:val="0"/>
              <w:marBottom w:val="0"/>
              <w:divBdr>
                <w:top w:val="inset" w:sz="2" w:space="0" w:color="auto"/>
                <w:left w:val="inset" w:sz="2" w:space="1" w:color="auto"/>
                <w:bottom w:val="inset" w:sz="2" w:space="0" w:color="auto"/>
                <w:right w:val="inset" w:sz="2" w:space="1" w:color="auto"/>
              </w:divBdr>
            </w:div>
            <w:div w:id="1432510091">
              <w:marLeft w:val="0"/>
              <w:marRight w:val="0"/>
              <w:marTop w:val="0"/>
              <w:marBottom w:val="0"/>
              <w:divBdr>
                <w:top w:val="inset" w:sz="2" w:space="0" w:color="auto"/>
                <w:left w:val="inset" w:sz="2" w:space="1" w:color="auto"/>
                <w:bottom w:val="inset" w:sz="2" w:space="0" w:color="auto"/>
                <w:right w:val="inset" w:sz="2" w:space="1" w:color="auto"/>
              </w:divBdr>
            </w:div>
            <w:div w:id="1432510092">
              <w:marLeft w:val="0"/>
              <w:marRight w:val="0"/>
              <w:marTop w:val="0"/>
              <w:marBottom w:val="0"/>
              <w:divBdr>
                <w:top w:val="none" w:sz="0" w:space="0" w:color="auto"/>
                <w:left w:val="none" w:sz="0" w:space="0" w:color="auto"/>
                <w:bottom w:val="none" w:sz="0" w:space="0" w:color="auto"/>
                <w:right w:val="none" w:sz="0" w:space="0" w:color="auto"/>
              </w:divBdr>
            </w:div>
            <w:div w:id="1432510093">
              <w:marLeft w:val="0"/>
              <w:marRight w:val="0"/>
              <w:marTop w:val="0"/>
              <w:marBottom w:val="0"/>
              <w:divBdr>
                <w:top w:val="inset" w:sz="2" w:space="0" w:color="auto"/>
                <w:left w:val="inset" w:sz="2" w:space="1" w:color="auto"/>
                <w:bottom w:val="inset" w:sz="2" w:space="0" w:color="auto"/>
                <w:right w:val="inset" w:sz="2" w:space="1" w:color="auto"/>
              </w:divBdr>
            </w:div>
            <w:div w:id="1432510094">
              <w:marLeft w:val="0"/>
              <w:marRight w:val="0"/>
              <w:marTop w:val="0"/>
              <w:marBottom w:val="0"/>
              <w:divBdr>
                <w:top w:val="inset" w:sz="2" w:space="0" w:color="auto"/>
                <w:left w:val="inset" w:sz="2" w:space="1" w:color="auto"/>
                <w:bottom w:val="inset" w:sz="2" w:space="0" w:color="auto"/>
                <w:right w:val="inset" w:sz="2" w:space="1" w:color="auto"/>
              </w:divBdr>
            </w:div>
            <w:div w:id="1432510095">
              <w:marLeft w:val="0"/>
              <w:marRight w:val="0"/>
              <w:marTop w:val="0"/>
              <w:marBottom w:val="0"/>
              <w:divBdr>
                <w:top w:val="inset" w:sz="2" w:space="0" w:color="auto"/>
                <w:left w:val="inset" w:sz="2" w:space="1" w:color="auto"/>
                <w:bottom w:val="inset" w:sz="2" w:space="0" w:color="auto"/>
                <w:right w:val="inset" w:sz="2" w:space="1" w:color="auto"/>
              </w:divBdr>
            </w:div>
            <w:div w:id="1432510096">
              <w:marLeft w:val="0"/>
              <w:marRight w:val="0"/>
              <w:marTop w:val="0"/>
              <w:marBottom w:val="0"/>
              <w:divBdr>
                <w:top w:val="inset" w:sz="2" w:space="0" w:color="auto"/>
                <w:left w:val="inset" w:sz="2" w:space="1" w:color="auto"/>
                <w:bottom w:val="inset" w:sz="2" w:space="0" w:color="auto"/>
                <w:right w:val="inset" w:sz="2" w:space="1" w:color="auto"/>
              </w:divBdr>
            </w:div>
            <w:div w:id="1432510097">
              <w:marLeft w:val="0"/>
              <w:marRight w:val="0"/>
              <w:marTop w:val="0"/>
              <w:marBottom w:val="0"/>
              <w:divBdr>
                <w:top w:val="inset" w:sz="2" w:space="0" w:color="auto"/>
                <w:left w:val="inset" w:sz="2" w:space="1" w:color="auto"/>
                <w:bottom w:val="inset" w:sz="2" w:space="0" w:color="auto"/>
                <w:right w:val="inset" w:sz="2" w:space="1" w:color="auto"/>
              </w:divBdr>
            </w:div>
            <w:div w:id="1432510098">
              <w:marLeft w:val="0"/>
              <w:marRight w:val="0"/>
              <w:marTop w:val="0"/>
              <w:marBottom w:val="0"/>
              <w:divBdr>
                <w:top w:val="inset" w:sz="2" w:space="0" w:color="auto"/>
                <w:left w:val="inset" w:sz="2" w:space="1" w:color="auto"/>
                <w:bottom w:val="inset" w:sz="2" w:space="0" w:color="auto"/>
                <w:right w:val="inset" w:sz="2" w:space="1" w:color="auto"/>
              </w:divBdr>
            </w:div>
            <w:div w:id="1432510099">
              <w:marLeft w:val="0"/>
              <w:marRight w:val="0"/>
              <w:marTop w:val="0"/>
              <w:marBottom w:val="0"/>
              <w:divBdr>
                <w:top w:val="inset" w:sz="2" w:space="0" w:color="auto"/>
                <w:left w:val="inset" w:sz="2" w:space="1" w:color="auto"/>
                <w:bottom w:val="inset" w:sz="2" w:space="0" w:color="auto"/>
                <w:right w:val="inset" w:sz="2" w:space="1" w:color="auto"/>
              </w:divBdr>
            </w:div>
            <w:div w:id="1432510100">
              <w:marLeft w:val="0"/>
              <w:marRight w:val="0"/>
              <w:marTop w:val="0"/>
              <w:marBottom w:val="0"/>
              <w:divBdr>
                <w:top w:val="inset" w:sz="2" w:space="0" w:color="auto"/>
                <w:left w:val="inset" w:sz="2" w:space="1" w:color="auto"/>
                <w:bottom w:val="inset" w:sz="2" w:space="0" w:color="auto"/>
                <w:right w:val="inset" w:sz="2" w:space="1" w:color="auto"/>
              </w:divBdr>
            </w:div>
            <w:div w:id="1432510101">
              <w:marLeft w:val="0"/>
              <w:marRight w:val="0"/>
              <w:marTop w:val="0"/>
              <w:marBottom w:val="0"/>
              <w:divBdr>
                <w:top w:val="inset" w:sz="2" w:space="0" w:color="auto"/>
                <w:left w:val="inset" w:sz="2" w:space="1" w:color="auto"/>
                <w:bottom w:val="inset" w:sz="2" w:space="0" w:color="auto"/>
                <w:right w:val="inset" w:sz="2" w:space="1" w:color="auto"/>
              </w:divBdr>
            </w:div>
            <w:div w:id="1432510102">
              <w:marLeft w:val="0"/>
              <w:marRight w:val="0"/>
              <w:marTop w:val="0"/>
              <w:marBottom w:val="0"/>
              <w:divBdr>
                <w:top w:val="inset" w:sz="2" w:space="0" w:color="auto"/>
                <w:left w:val="inset" w:sz="2" w:space="1" w:color="auto"/>
                <w:bottom w:val="inset" w:sz="2" w:space="0" w:color="auto"/>
                <w:right w:val="inset" w:sz="2" w:space="1" w:color="auto"/>
              </w:divBdr>
            </w:div>
            <w:div w:id="1432510103">
              <w:marLeft w:val="0"/>
              <w:marRight w:val="0"/>
              <w:marTop w:val="0"/>
              <w:marBottom w:val="0"/>
              <w:divBdr>
                <w:top w:val="inset" w:sz="2" w:space="0" w:color="auto"/>
                <w:left w:val="inset" w:sz="2" w:space="1" w:color="auto"/>
                <w:bottom w:val="inset" w:sz="2" w:space="0" w:color="auto"/>
                <w:right w:val="inset" w:sz="2" w:space="1" w:color="auto"/>
              </w:divBdr>
            </w:div>
            <w:div w:id="1432510105">
              <w:marLeft w:val="0"/>
              <w:marRight w:val="0"/>
              <w:marTop w:val="0"/>
              <w:marBottom w:val="0"/>
              <w:divBdr>
                <w:top w:val="inset" w:sz="2" w:space="0" w:color="auto"/>
                <w:left w:val="inset" w:sz="2" w:space="1" w:color="auto"/>
                <w:bottom w:val="inset" w:sz="2" w:space="0" w:color="auto"/>
                <w:right w:val="inset" w:sz="2" w:space="1" w:color="auto"/>
              </w:divBdr>
            </w:div>
            <w:div w:id="1432510106">
              <w:marLeft w:val="0"/>
              <w:marRight w:val="0"/>
              <w:marTop w:val="0"/>
              <w:marBottom w:val="0"/>
              <w:divBdr>
                <w:top w:val="inset" w:sz="2" w:space="0" w:color="auto"/>
                <w:left w:val="inset" w:sz="2" w:space="1" w:color="auto"/>
                <w:bottom w:val="inset" w:sz="2" w:space="0" w:color="auto"/>
                <w:right w:val="inset" w:sz="2" w:space="1" w:color="auto"/>
              </w:divBdr>
            </w:div>
            <w:div w:id="1432510107">
              <w:marLeft w:val="0"/>
              <w:marRight w:val="0"/>
              <w:marTop w:val="0"/>
              <w:marBottom w:val="0"/>
              <w:divBdr>
                <w:top w:val="inset" w:sz="2" w:space="0" w:color="auto"/>
                <w:left w:val="inset" w:sz="2" w:space="1" w:color="auto"/>
                <w:bottom w:val="inset" w:sz="2" w:space="0" w:color="auto"/>
                <w:right w:val="inset" w:sz="2" w:space="1" w:color="auto"/>
              </w:divBdr>
            </w:div>
            <w:div w:id="1432510108">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docs.cntd.ru/document/420257973" TargetMode="External"/><Relationship Id="rId117" Type="http://schemas.openxmlformats.org/officeDocument/2006/relationships/hyperlink" Target="http://docs.cntd.ru/document/420242957" TargetMode="External"/><Relationship Id="rId21" Type="http://schemas.openxmlformats.org/officeDocument/2006/relationships/hyperlink" Target="http://docs.cntd.ru/document/420236205" TargetMode="External"/><Relationship Id="rId42" Type="http://schemas.openxmlformats.org/officeDocument/2006/relationships/hyperlink" Target="http://docs.cntd.ru/document/499030005" TargetMode="External"/><Relationship Id="rId47" Type="http://schemas.openxmlformats.org/officeDocument/2006/relationships/hyperlink" Target="http://docs.cntd.ru/document/499067439" TargetMode="External"/><Relationship Id="rId63" Type="http://schemas.openxmlformats.org/officeDocument/2006/relationships/hyperlink" Target="http://docs.cntd.ru/document/420287088" TargetMode="External"/><Relationship Id="rId68" Type="http://schemas.openxmlformats.org/officeDocument/2006/relationships/hyperlink" Target="http://docs.cntd.ru/document/802048047" TargetMode="External"/><Relationship Id="rId84" Type="http://schemas.openxmlformats.org/officeDocument/2006/relationships/hyperlink" Target="http://docs.cntd.ru/document/819052514" TargetMode="External"/><Relationship Id="rId89" Type="http://schemas.openxmlformats.org/officeDocument/2006/relationships/hyperlink" Target="http://docs.cntd.ru/document/460274685" TargetMode="External"/><Relationship Id="rId112" Type="http://schemas.openxmlformats.org/officeDocument/2006/relationships/hyperlink" Target="http://docs.cntd.ru/document/420208920" TargetMode="External"/><Relationship Id="rId133" Type="http://schemas.openxmlformats.org/officeDocument/2006/relationships/hyperlink" Target="http://docs.cntd.ru/document/902282516" TargetMode="External"/><Relationship Id="rId138" Type="http://schemas.openxmlformats.org/officeDocument/2006/relationships/hyperlink" Target="http://docs.cntd.ru/document/9009935" TargetMode="External"/><Relationship Id="rId154" Type="http://schemas.openxmlformats.org/officeDocument/2006/relationships/fontTable" Target="fontTable.xml"/><Relationship Id="rId16" Type="http://schemas.openxmlformats.org/officeDocument/2006/relationships/hyperlink" Target="http://docs.cntd.ru/document/499067439" TargetMode="External"/><Relationship Id="rId107" Type="http://schemas.openxmlformats.org/officeDocument/2006/relationships/hyperlink" Target="http://docs.cntd.ru/document/499046664" TargetMode="External"/><Relationship Id="rId11" Type="http://schemas.openxmlformats.org/officeDocument/2006/relationships/hyperlink" Target="http://docs.cntd.ru/document/499030005" TargetMode="External"/><Relationship Id="rId32" Type="http://schemas.openxmlformats.org/officeDocument/2006/relationships/hyperlink" Target="http://docs.cntd.ru/document/420287088" TargetMode="External"/><Relationship Id="rId37" Type="http://schemas.openxmlformats.org/officeDocument/2006/relationships/hyperlink" Target="http://docs.cntd.ru/document/420285912" TargetMode="External"/><Relationship Id="rId53" Type="http://schemas.openxmlformats.org/officeDocument/2006/relationships/hyperlink" Target="http://docs.cntd.ru/document/420236204" TargetMode="External"/><Relationship Id="rId58" Type="http://schemas.openxmlformats.org/officeDocument/2006/relationships/hyperlink" Target="http://docs.cntd.ru/document/420265412" TargetMode="External"/><Relationship Id="rId74" Type="http://schemas.openxmlformats.org/officeDocument/2006/relationships/hyperlink" Target="http://docs.cntd.ru/document/906302386" TargetMode="External"/><Relationship Id="rId79" Type="http://schemas.openxmlformats.org/officeDocument/2006/relationships/hyperlink" Target="http://docs.cntd.ru/document/902355054" TargetMode="External"/><Relationship Id="rId102" Type="http://schemas.openxmlformats.org/officeDocument/2006/relationships/hyperlink" Target="http://docs.cntd.ru/document/902353933" TargetMode="External"/><Relationship Id="rId123" Type="http://schemas.openxmlformats.org/officeDocument/2006/relationships/hyperlink" Target="http://docs.cntd.ru/document/420287125" TargetMode="External"/><Relationship Id="rId128" Type="http://schemas.openxmlformats.org/officeDocument/2006/relationships/hyperlink" Target="http://docs.cntd.ru/document/420326691" TargetMode="External"/><Relationship Id="rId144" Type="http://schemas.openxmlformats.org/officeDocument/2006/relationships/hyperlink" Target="http://docs.cntd.ru/document/420285912" TargetMode="External"/><Relationship Id="rId149" Type="http://schemas.openxmlformats.org/officeDocument/2006/relationships/hyperlink" Target="http://docs.cntd.ru/document/430622867" TargetMode="External"/><Relationship Id="rId5" Type="http://schemas.openxmlformats.org/officeDocument/2006/relationships/hyperlink" Target="http://docs.cntd.ru/document/420285912" TargetMode="External"/><Relationship Id="rId90" Type="http://schemas.openxmlformats.org/officeDocument/2006/relationships/hyperlink" Target="http://docs.cntd.ru/document/428650156" TargetMode="External"/><Relationship Id="rId95" Type="http://schemas.openxmlformats.org/officeDocument/2006/relationships/hyperlink" Target="http://docs.cntd.ru/document/902355054" TargetMode="External"/><Relationship Id="rId22" Type="http://schemas.openxmlformats.org/officeDocument/2006/relationships/hyperlink" Target="http://docs.cntd.ru/document/420236204" TargetMode="External"/><Relationship Id="rId27" Type="http://schemas.openxmlformats.org/officeDocument/2006/relationships/hyperlink" Target="http://docs.cntd.ru/document/420265412" TargetMode="External"/><Relationship Id="rId43" Type="http://schemas.openxmlformats.org/officeDocument/2006/relationships/hyperlink" Target="http://docs.cntd.ru/document/499030936" TargetMode="External"/><Relationship Id="rId48" Type="http://schemas.openxmlformats.org/officeDocument/2006/relationships/hyperlink" Target="http://docs.cntd.ru/document/420208795" TargetMode="External"/><Relationship Id="rId64" Type="http://schemas.openxmlformats.org/officeDocument/2006/relationships/hyperlink" Target="http://docs.cntd.ru/document/420322328" TargetMode="External"/><Relationship Id="rId69" Type="http://schemas.openxmlformats.org/officeDocument/2006/relationships/hyperlink" Target="http://docs.cntd.ru/document/819018745" TargetMode="External"/><Relationship Id="rId113" Type="http://schemas.openxmlformats.org/officeDocument/2006/relationships/hyperlink" Target="http://docs.cntd.ru/document/420227432" TargetMode="External"/><Relationship Id="rId118" Type="http://schemas.openxmlformats.org/officeDocument/2006/relationships/hyperlink" Target="http://docs.cntd.ru/document/420257996" TargetMode="External"/><Relationship Id="rId134" Type="http://schemas.openxmlformats.org/officeDocument/2006/relationships/hyperlink" Target="http://docs.cntd.ru/document/901982862" TargetMode="External"/><Relationship Id="rId139" Type="http://schemas.openxmlformats.org/officeDocument/2006/relationships/hyperlink" Target="http://docs.cntd.ru/document/9014513" TargetMode="External"/><Relationship Id="rId80" Type="http://schemas.openxmlformats.org/officeDocument/2006/relationships/hyperlink" Target="http://docs.cntd.ru/document/420285912" TargetMode="External"/><Relationship Id="rId85" Type="http://schemas.openxmlformats.org/officeDocument/2006/relationships/hyperlink" Target="http://docs.cntd.ru/document/906302712" TargetMode="External"/><Relationship Id="rId150" Type="http://schemas.openxmlformats.org/officeDocument/2006/relationships/hyperlink" Target="http://docs.cntd.ru/document/819073683" TargetMode="External"/><Relationship Id="rId155" Type="http://schemas.openxmlformats.org/officeDocument/2006/relationships/theme" Target="theme/theme1.xml"/><Relationship Id="rId12" Type="http://schemas.openxmlformats.org/officeDocument/2006/relationships/hyperlink" Target="http://docs.cntd.ru/document/499030936" TargetMode="External"/><Relationship Id="rId17" Type="http://schemas.openxmlformats.org/officeDocument/2006/relationships/hyperlink" Target="http://docs.cntd.ru/document/420208795" TargetMode="External"/><Relationship Id="rId25" Type="http://schemas.openxmlformats.org/officeDocument/2006/relationships/hyperlink" Target="http://docs.cntd.ru/document/420257996" TargetMode="External"/><Relationship Id="rId33" Type="http://schemas.openxmlformats.org/officeDocument/2006/relationships/hyperlink" Target="http://docs.cntd.ru/document/420322328" TargetMode="External"/><Relationship Id="rId38" Type="http://schemas.openxmlformats.org/officeDocument/2006/relationships/hyperlink" Target="http://docs.cntd.ru/document/420310216" TargetMode="External"/><Relationship Id="rId46" Type="http://schemas.openxmlformats.org/officeDocument/2006/relationships/hyperlink" Target="http://docs.cntd.ru/document/499059427" TargetMode="External"/><Relationship Id="rId59" Type="http://schemas.openxmlformats.org/officeDocument/2006/relationships/hyperlink" Target="http://docs.cntd.ru/document/420284279" TargetMode="External"/><Relationship Id="rId67" Type="http://schemas.openxmlformats.org/officeDocument/2006/relationships/hyperlink" Target="http://docs.cntd.ru/document/453373189" TargetMode="External"/><Relationship Id="rId103" Type="http://schemas.openxmlformats.org/officeDocument/2006/relationships/hyperlink" Target="http://docs.cntd.ru/document/902353938" TargetMode="External"/><Relationship Id="rId108" Type="http://schemas.openxmlformats.org/officeDocument/2006/relationships/hyperlink" Target="http://docs.cntd.ru/document/499059427" TargetMode="External"/><Relationship Id="rId116" Type="http://schemas.openxmlformats.org/officeDocument/2006/relationships/hyperlink" Target="http://docs.cntd.ru/document/420243010" TargetMode="External"/><Relationship Id="rId124" Type="http://schemas.openxmlformats.org/officeDocument/2006/relationships/hyperlink" Target="http://docs.cntd.ru/document/420287123" TargetMode="External"/><Relationship Id="rId129" Type="http://schemas.openxmlformats.org/officeDocument/2006/relationships/hyperlink" Target="http://docs.cntd.ru/document/902111644" TargetMode="External"/><Relationship Id="rId137" Type="http://schemas.openxmlformats.org/officeDocument/2006/relationships/hyperlink" Target="http://docs.cntd.ru/document/744100004" TargetMode="External"/><Relationship Id="rId20" Type="http://schemas.openxmlformats.org/officeDocument/2006/relationships/hyperlink" Target="http://docs.cntd.ru/document/420227432" TargetMode="External"/><Relationship Id="rId41" Type="http://schemas.openxmlformats.org/officeDocument/2006/relationships/hyperlink" Target="http://docs.cntd.ru/document/902353938" TargetMode="External"/><Relationship Id="rId54" Type="http://schemas.openxmlformats.org/officeDocument/2006/relationships/hyperlink" Target="http://docs.cntd.ru/document/420243010" TargetMode="External"/><Relationship Id="rId62" Type="http://schemas.openxmlformats.org/officeDocument/2006/relationships/hyperlink" Target="http://docs.cntd.ru/document/420287123" TargetMode="External"/><Relationship Id="rId70" Type="http://schemas.openxmlformats.org/officeDocument/2006/relationships/hyperlink" Target="http://docs.cntd.ru/document/819052514" TargetMode="External"/><Relationship Id="rId75" Type="http://schemas.openxmlformats.org/officeDocument/2006/relationships/hyperlink" Target="http://docs.cntd.ru/document/460274685" TargetMode="External"/><Relationship Id="rId83" Type="http://schemas.openxmlformats.org/officeDocument/2006/relationships/hyperlink" Target="http://docs.cntd.ru/document/819018745" TargetMode="External"/><Relationship Id="rId88" Type="http://schemas.openxmlformats.org/officeDocument/2006/relationships/hyperlink" Target="http://docs.cntd.ru/document/906302386" TargetMode="External"/><Relationship Id="rId91" Type="http://schemas.openxmlformats.org/officeDocument/2006/relationships/hyperlink" Target="http://docs.cntd.ru/document/902144752" TargetMode="External"/><Relationship Id="rId96" Type="http://schemas.openxmlformats.org/officeDocument/2006/relationships/hyperlink" Target="http://docs.cntd.ru/document/420285912" TargetMode="External"/><Relationship Id="rId111" Type="http://schemas.openxmlformats.org/officeDocument/2006/relationships/hyperlink" Target="http://docs.cntd.ru/document/420208792" TargetMode="External"/><Relationship Id="rId132" Type="http://schemas.openxmlformats.org/officeDocument/2006/relationships/hyperlink" Target="http://docs.cntd.ru/document/901862232" TargetMode="External"/><Relationship Id="rId140" Type="http://schemas.openxmlformats.org/officeDocument/2006/relationships/hyperlink" Target="http://docs.cntd.ru/document/901808297" TargetMode="External"/><Relationship Id="rId145" Type="http://schemas.openxmlformats.org/officeDocument/2006/relationships/hyperlink" Target="http://docs.cntd.ru/document/901914783" TargetMode="External"/><Relationship Id="rId153" Type="http://schemas.openxmlformats.org/officeDocument/2006/relationships/hyperlink" Target="http://docs.cntd.ru/document/902161594" TargetMode="External"/><Relationship Id="rId1" Type="http://schemas.openxmlformats.org/officeDocument/2006/relationships/styles" Target="styles.xml"/><Relationship Id="rId6" Type="http://schemas.openxmlformats.org/officeDocument/2006/relationships/hyperlink" Target="http://docs.cntd.ru/document/420310216" TargetMode="External"/><Relationship Id="rId15" Type="http://schemas.openxmlformats.org/officeDocument/2006/relationships/hyperlink" Target="http://docs.cntd.ru/document/499059427" TargetMode="External"/><Relationship Id="rId23" Type="http://schemas.openxmlformats.org/officeDocument/2006/relationships/hyperlink" Target="http://docs.cntd.ru/document/420243010" TargetMode="External"/><Relationship Id="rId28" Type="http://schemas.openxmlformats.org/officeDocument/2006/relationships/hyperlink" Target="http://docs.cntd.ru/document/420284279" TargetMode="External"/><Relationship Id="rId36" Type="http://schemas.openxmlformats.org/officeDocument/2006/relationships/hyperlink" Target="http://docs.cntd.ru/document/902355054" TargetMode="External"/><Relationship Id="rId49" Type="http://schemas.openxmlformats.org/officeDocument/2006/relationships/hyperlink" Target="http://docs.cntd.ru/document/420208792" TargetMode="External"/><Relationship Id="rId57" Type="http://schemas.openxmlformats.org/officeDocument/2006/relationships/hyperlink" Target="http://docs.cntd.ru/document/420257973" TargetMode="External"/><Relationship Id="rId106" Type="http://schemas.openxmlformats.org/officeDocument/2006/relationships/hyperlink" Target="http://docs.cntd.ru/document/499034065" TargetMode="External"/><Relationship Id="rId114" Type="http://schemas.openxmlformats.org/officeDocument/2006/relationships/hyperlink" Target="http://docs.cntd.ru/document/420236205" TargetMode="External"/><Relationship Id="rId119" Type="http://schemas.openxmlformats.org/officeDocument/2006/relationships/hyperlink" Target="http://docs.cntd.ru/document/420257973" TargetMode="External"/><Relationship Id="rId127" Type="http://schemas.openxmlformats.org/officeDocument/2006/relationships/hyperlink" Target="http://docs.cntd.ru/document/420326554" TargetMode="External"/><Relationship Id="rId10" Type="http://schemas.openxmlformats.org/officeDocument/2006/relationships/hyperlink" Target="http://docs.cntd.ru/document/902353938" TargetMode="External"/><Relationship Id="rId31" Type="http://schemas.openxmlformats.org/officeDocument/2006/relationships/hyperlink" Target="http://docs.cntd.ru/document/420287123" TargetMode="External"/><Relationship Id="rId44" Type="http://schemas.openxmlformats.org/officeDocument/2006/relationships/hyperlink" Target="http://docs.cntd.ru/document/499034065" TargetMode="External"/><Relationship Id="rId52" Type="http://schemas.openxmlformats.org/officeDocument/2006/relationships/hyperlink" Target="http://docs.cntd.ru/document/420236205" TargetMode="External"/><Relationship Id="rId60" Type="http://schemas.openxmlformats.org/officeDocument/2006/relationships/hyperlink" Target="http://docs.cntd.ru/document/420287138" TargetMode="External"/><Relationship Id="rId65" Type="http://schemas.openxmlformats.org/officeDocument/2006/relationships/hyperlink" Target="http://docs.cntd.ru/document/420326554" TargetMode="External"/><Relationship Id="rId73" Type="http://schemas.openxmlformats.org/officeDocument/2006/relationships/hyperlink" Target="http://docs.cntd.ru/document/906303413" TargetMode="External"/><Relationship Id="rId78" Type="http://schemas.openxmlformats.org/officeDocument/2006/relationships/hyperlink" Target="http://docs.cntd.ru/document/901711591" TargetMode="External"/><Relationship Id="rId81" Type="http://schemas.openxmlformats.org/officeDocument/2006/relationships/hyperlink" Target="http://docs.cntd.ru/document/420310216" TargetMode="External"/><Relationship Id="rId86" Type="http://schemas.openxmlformats.org/officeDocument/2006/relationships/hyperlink" Target="http://docs.cntd.ru/document/906302881" TargetMode="External"/><Relationship Id="rId94" Type="http://schemas.openxmlformats.org/officeDocument/2006/relationships/hyperlink" Target="http://docs.cntd.ru/document/420310216" TargetMode="External"/><Relationship Id="rId99" Type="http://schemas.openxmlformats.org/officeDocument/2006/relationships/hyperlink" Target="http://docs.cntd.ru/document/420285912" TargetMode="External"/><Relationship Id="rId101" Type="http://schemas.openxmlformats.org/officeDocument/2006/relationships/hyperlink" Target="http://docs.cntd.ru/document/902312609" TargetMode="External"/><Relationship Id="rId122" Type="http://schemas.openxmlformats.org/officeDocument/2006/relationships/hyperlink" Target="http://docs.cntd.ru/document/420287138" TargetMode="External"/><Relationship Id="rId130" Type="http://schemas.openxmlformats.org/officeDocument/2006/relationships/hyperlink" Target="http://docs.cntd.ru/document/902111644" TargetMode="External"/><Relationship Id="rId135" Type="http://schemas.openxmlformats.org/officeDocument/2006/relationships/hyperlink" Target="http://docs.cntd.ru/document/9004937" TargetMode="External"/><Relationship Id="rId143" Type="http://schemas.openxmlformats.org/officeDocument/2006/relationships/hyperlink" Target="http://docs.cntd.ru/document/902173656" TargetMode="External"/><Relationship Id="rId148" Type="http://schemas.openxmlformats.org/officeDocument/2006/relationships/hyperlink" Target="http://docs.cntd.ru/document/424029608" TargetMode="External"/><Relationship Id="rId151" Type="http://schemas.openxmlformats.org/officeDocument/2006/relationships/hyperlink" Target="http://docs.cntd.ru/document/902268769" TargetMode="External"/><Relationship Id="rId4" Type="http://schemas.openxmlformats.org/officeDocument/2006/relationships/hyperlink" Target="http://docs.cntd.ru/document/902355054" TargetMode="External"/><Relationship Id="rId9" Type="http://schemas.openxmlformats.org/officeDocument/2006/relationships/hyperlink" Target="http://docs.cntd.ru/document/902353933" TargetMode="External"/><Relationship Id="rId13" Type="http://schemas.openxmlformats.org/officeDocument/2006/relationships/hyperlink" Target="http://docs.cntd.ru/document/499034065" TargetMode="External"/><Relationship Id="rId18" Type="http://schemas.openxmlformats.org/officeDocument/2006/relationships/hyperlink" Target="http://docs.cntd.ru/document/420208792" TargetMode="External"/><Relationship Id="rId39" Type="http://schemas.openxmlformats.org/officeDocument/2006/relationships/hyperlink" Target="http://docs.cntd.ru/document/902312609" TargetMode="External"/><Relationship Id="rId109" Type="http://schemas.openxmlformats.org/officeDocument/2006/relationships/hyperlink" Target="http://docs.cntd.ru/document/499067439" TargetMode="External"/><Relationship Id="rId34" Type="http://schemas.openxmlformats.org/officeDocument/2006/relationships/hyperlink" Target="http://docs.cntd.ru/document/420326554" TargetMode="External"/><Relationship Id="rId50" Type="http://schemas.openxmlformats.org/officeDocument/2006/relationships/hyperlink" Target="http://docs.cntd.ru/document/420208920" TargetMode="External"/><Relationship Id="rId55" Type="http://schemas.openxmlformats.org/officeDocument/2006/relationships/hyperlink" Target="http://docs.cntd.ru/document/420242957" TargetMode="External"/><Relationship Id="rId76" Type="http://schemas.openxmlformats.org/officeDocument/2006/relationships/hyperlink" Target="http://docs.cntd.ru/document/428650156" TargetMode="External"/><Relationship Id="rId97" Type="http://schemas.openxmlformats.org/officeDocument/2006/relationships/hyperlink" Target="http://docs.cntd.ru/document/420310216" TargetMode="External"/><Relationship Id="rId104" Type="http://schemas.openxmlformats.org/officeDocument/2006/relationships/hyperlink" Target="http://docs.cntd.ru/document/499030005" TargetMode="External"/><Relationship Id="rId120" Type="http://schemas.openxmlformats.org/officeDocument/2006/relationships/hyperlink" Target="http://docs.cntd.ru/document/420265412" TargetMode="External"/><Relationship Id="rId125" Type="http://schemas.openxmlformats.org/officeDocument/2006/relationships/hyperlink" Target="http://docs.cntd.ru/document/420287088" TargetMode="External"/><Relationship Id="rId141" Type="http://schemas.openxmlformats.org/officeDocument/2006/relationships/hyperlink" Target="http://docs.cntd.ru/document/901876063" TargetMode="External"/><Relationship Id="rId146" Type="http://schemas.openxmlformats.org/officeDocument/2006/relationships/hyperlink" Target="http://docs.cntd.ru/document/428650068" TargetMode="External"/><Relationship Id="rId7" Type="http://schemas.openxmlformats.org/officeDocument/2006/relationships/hyperlink" Target="http://docs.cntd.ru/document/802024583" TargetMode="External"/><Relationship Id="rId71" Type="http://schemas.openxmlformats.org/officeDocument/2006/relationships/hyperlink" Target="http://docs.cntd.ru/document/906302712" TargetMode="External"/><Relationship Id="rId92" Type="http://schemas.openxmlformats.org/officeDocument/2006/relationships/hyperlink" Target="http://docs.cntd.ru/document/902355054" TargetMode="External"/><Relationship Id="rId2" Type="http://schemas.openxmlformats.org/officeDocument/2006/relationships/settings" Target="settings.xml"/><Relationship Id="rId29" Type="http://schemas.openxmlformats.org/officeDocument/2006/relationships/hyperlink" Target="http://docs.cntd.ru/document/420287138" TargetMode="External"/><Relationship Id="rId24" Type="http://schemas.openxmlformats.org/officeDocument/2006/relationships/hyperlink" Target="http://docs.cntd.ru/document/420242957" TargetMode="External"/><Relationship Id="rId40" Type="http://schemas.openxmlformats.org/officeDocument/2006/relationships/hyperlink" Target="http://docs.cntd.ru/document/902353933" TargetMode="External"/><Relationship Id="rId45" Type="http://schemas.openxmlformats.org/officeDocument/2006/relationships/hyperlink" Target="http://docs.cntd.ru/document/499046664" TargetMode="External"/><Relationship Id="rId66" Type="http://schemas.openxmlformats.org/officeDocument/2006/relationships/hyperlink" Target="http://docs.cntd.ru/document/420326691" TargetMode="External"/><Relationship Id="rId87" Type="http://schemas.openxmlformats.org/officeDocument/2006/relationships/hyperlink" Target="http://docs.cntd.ru/document/906303413" TargetMode="External"/><Relationship Id="rId110" Type="http://schemas.openxmlformats.org/officeDocument/2006/relationships/hyperlink" Target="http://docs.cntd.ru/document/420208795" TargetMode="External"/><Relationship Id="rId115" Type="http://schemas.openxmlformats.org/officeDocument/2006/relationships/hyperlink" Target="http://docs.cntd.ru/document/420236204" TargetMode="External"/><Relationship Id="rId131" Type="http://schemas.openxmlformats.org/officeDocument/2006/relationships/hyperlink" Target="http://docs.cntd.ru/document/430659939" TargetMode="External"/><Relationship Id="rId136" Type="http://schemas.openxmlformats.org/officeDocument/2006/relationships/hyperlink" Target="http://docs.cntd.ru/document/901919338" TargetMode="External"/><Relationship Id="rId61" Type="http://schemas.openxmlformats.org/officeDocument/2006/relationships/hyperlink" Target="http://docs.cntd.ru/document/420287125" TargetMode="External"/><Relationship Id="rId82" Type="http://schemas.openxmlformats.org/officeDocument/2006/relationships/hyperlink" Target="http://docs.cntd.ru/document/802048047" TargetMode="External"/><Relationship Id="rId152" Type="http://schemas.openxmlformats.org/officeDocument/2006/relationships/hyperlink" Target="http://docs.cntd.ru/document/499060681" TargetMode="External"/><Relationship Id="rId19" Type="http://schemas.openxmlformats.org/officeDocument/2006/relationships/hyperlink" Target="http://docs.cntd.ru/document/420208920" TargetMode="External"/><Relationship Id="rId14" Type="http://schemas.openxmlformats.org/officeDocument/2006/relationships/hyperlink" Target="http://docs.cntd.ru/document/499046664" TargetMode="External"/><Relationship Id="rId30" Type="http://schemas.openxmlformats.org/officeDocument/2006/relationships/hyperlink" Target="http://docs.cntd.ru/document/420287125" TargetMode="External"/><Relationship Id="rId35" Type="http://schemas.openxmlformats.org/officeDocument/2006/relationships/hyperlink" Target="http://docs.cntd.ru/document/420326691" TargetMode="External"/><Relationship Id="rId56" Type="http://schemas.openxmlformats.org/officeDocument/2006/relationships/hyperlink" Target="http://docs.cntd.ru/document/420257996" TargetMode="External"/><Relationship Id="rId77" Type="http://schemas.openxmlformats.org/officeDocument/2006/relationships/hyperlink" Target="http://docs.cntd.ru/document/802024583" TargetMode="External"/><Relationship Id="rId100" Type="http://schemas.openxmlformats.org/officeDocument/2006/relationships/hyperlink" Target="http://docs.cntd.ru/document/420310216" TargetMode="External"/><Relationship Id="rId105" Type="http://schemas.openxmlformats.org/officeDocument/2006/relationships/hyperlink" Target="http://docs.cntd.ru/document/499030936" TargetMode="External"/><Relationship Id="rId126" Type="http://schemas.openxmlformats.org/officeDocument/2006/relationships/hyperlink" Target="http://docs.cntd.ru/document/420322328" TargetMode="External"/><Relationship Id="rId147" Type="http://schemas.openxmlformats.org/officeDocument/2006/relationships/hyperlink" Target="http://docs.cntd.ru/document/424071517" TargetMode="External"/><Relationship Id="rId8" Type="http://schemas.openxmlformats.org/officeDocument/2006/relationships/hyperlink" Target="http://docs.cntd.ru/document/902312609" TargetMode="External"/><Relationship Id="rId51" Type="http://schemas.openxmlformats.org/officeDocument/2006/relationships/hyperlink" Target="http://docs.cntd.ru/document/420227432" TargetMode="External"/><Relationship Id="rId72" Type="http://schemas.openxmlformats.org/officeDocument/2006/relationships/hyperlink" Target="http://docs.cntd.ru/document/906302881" TargetMode="External"/><Relationship Id="rId93" Type="http://schemas.openxmlformats.org/officeDocument/2006/relationships/hyperlink" Target="http://docs.cntd.ru/document/420285912" TargetMode="External"/><Relationship Id="rId98" Type="http://schemas.openxmlformats.org/officeDocument/2006/relationships/hyperlink" Target="http://docs.cntd.ru/document/902355054" TargetMode="External"/><Relationship Id="rId121" Type="http://schemas.openxmlformats.org/officeDocument/2006/relationships/hyperlink" Target="http://docs.cntd.ru/document/420284279" TargetMode="External"/><Relationship Id="rId142" Type="http://schemas.openxmlformats.org/officeDocument/2006/relationships/hyperlink" Target="http://docs.cntd.ru/document/902111644"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70</Pages>
  <Words>20464</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РЕГИОНАЛЬНЫЕ НОРМАТИВЫ ГРАДОСТРОИТЕЛЬНОГО ПРОЕКТИРОВАНИЯ РЕСПУБЛИКИ МОРДОВИЯ</dc:title>
  <dc:subject/>
  <dc:creator>user</dc:creator>
  <cp:keywords/>
  <dc:description/>
  <cp:lastModifiedBy>1</cp:lastModifiedBy>
  <cp:revision>2</cp:revision>
  <dcterms:created xsi:type="dcterms:W3CDTF">2017-07-31T07:59:00Z</dcterms:created>
  <dcterms:modified xsi:type="dcterms:W3CDTF">2017-07-31T07:59:00Z</dcterms:modified>
</cp:coreProperties>
</file>